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E4" w:rsidRDefault="003945E4">
      <w:pPr>
        <w:pStyle w:val="ConsPlusTitle"/>
        <w:jc w:val="center"/>
        <w:outlineLvl w:val="0"/>
      </w:pPr>
      <w:r>
        <w:t>АДМИНИСТРАЦИЯ ГОРОДА ЗАРЕЧНОГО</w:t>
      </w:r>
    </w:p>
    <w:p w:rsidR="003945E4" w:rsidRDefault="003945E4">
      <w:pPr>
        <w:pStyle w:val="ConsPlusTitle"/>
        <w:jc w:val="center"/>
      </w:pPr>
      <w:r>
        <w:t>ПЕНЗЕНСКОЙ ОБЛАСТИ</w:t>
      </w:r>
    </w:p>
    <w:p w:rsidR="003945E4" w:rsidRDefault="003945E4">
      <w:pPr>
        <w:pStyle w:val="ConsPlusTitle"/>
        <w:jc w:val="center"/>
      </w:pPr>
    </w:p>
    <w:p w:rsidR="003945E4" w:rsidRDefault="003945E4">
      <w:pPr>
        <w:pStyle w:val="ConsPlusTitle"/>
        <w:jc w:val="center"/>
      </w:pPr>
      <w:r>
        <w:t>ПОСТАНОВЛЕНИЕ</w:t>
      </w:r>
    </w:p>
    <w:p w:rsidR="003945E4" w:rsidRDefault="003945E4">
      <w:pPr>
        <w:pStyle w:val="ConsPlusTitle"/>
        <w:jc w:val="center"/>
      </w:pPr>
      <w:r>
        <w:t>от 5 мая 2016 г. N 1074</w:t>
      </w:r>
    </w:p>
    <w:p w:rsidR="003945E4" w:rsidRDefault="003945E4">
      <w:pPr>
        <w:pStyle w:val="ConsPlusTitle"/>
        <w:jc w:val="center"/>
      </w:pPr>
    </w:p>
    <w:p w:rsidR="003945E4" w:rsidRDefault="003945E4">
      <w:pPr>
        <w:pStyle w:val="ConsPlusTitle"/>
        <w:jc w:val="center"/>
      </w:pPr>
      <w:r>
        <w:t>ОБ УТВЕРЖДЕНИИ СОСТАВА И ПОРЯДКА РАБОТЫ КОНКУРСНОЙ КОМИССИИ</w:t>
      </w:r>
    </w:p>
    <w:p w:rsidR="003945E4" w:rsidRDefault="003945E4">
      <w:pPr>
        <w:pStyle w:val="ConsPlusTitle"/>
        <w:jc w:val="center"/>
      </w:pPr>
      <w:r>
        <w:t>ПО ПРОВЕДЕНИЮ ОТКРЫТОГО КОНКУРСА ПО ОТБОРУ УПРАВЛЯЮЩЕЙ</w:t>
      </w:r>
    </w:p>
    <w:p w:rsidR="003945E4" w:rsidRDefault="003945E4">
      <w:pPr>
        <w:pStyle w:val="ConsPlusTitle"/>
        <w:jc w:val="center"/>
      </w:pPr>
      <w:r>
        <w:t>ОРГАНИЗАЦИИ ДЛЯ УПРАВЛЕНИЯ МНОГОКВАРТИРНЫМ ДОМОМ</w:t>
      </w:r>
    </w:p>
    <w:p w:rsidR="003945E4" w:rsidRDefault="003945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945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5E4" w:rsidRDefault="00394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5E4" w:rsidRDefault="003945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01.07.2016 </w:t>
            </w:r>
            <w:hyperlink r:id="rId4" w:history="1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45E4" w:rsidRDefault="00394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10.03.2017 </w:t>
            </w:r>
            <w:hyperlink r:id="rId5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16.10.2018 </w:t>
            </w:r>
            <w:hyperlink r:id="rId6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статьи 161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в соответствии со </w:t>
      </w:r>
      <w:hyperlink r:id="rId9" w:history="1">
        <w:r>
          <w:rPr>
            <w:color w:val="0000FF"/>
          </w:rPr>
          <w:t>статьями 4.5.1</w:t>
        </w:r>
      </w:hyperlink>
      <w:r>
        <w:t xml:space="preserve">, </w:t>
      </w:r>
      <w:hyperlink r:id="rId10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состав</w:t>
        </w:r>
      </w:hyperlink>
      <w:r>
        <w:t xml:space="preserve"> конкурсной комиссии по проведению открытого конкурса по отбору управляющей организации для управления многоквартирным домом (приложение N 1).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6" w:history="1">
        <w:r>
          <w:rPr>
            <w:color w:val="0000FF"/>
          </w:rPr>
          <w:t>Порядок</w:t>
        </w:r>
      </w:hyperlink>
      <w:r>
        <w:t xml:space="preserve"> работы конкурсной комиссии по проведению открытого конкурса по отбору управляющей организации для управления многоквартирным домом (приложение N 2).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3. Считать утратившими силу постановления Администрации </w:t>
      </w:r>
      <w:proofErr w:type="gramStart"/>
      <w:r>
        <w:t>г</w:t>
      </w:r>
      <w:proofErr w:type="gramEnd"/>
      <w:r>
        <w:t>. Заречного: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- от 04.04.2014 </w:t>
      </w:r>
      <w:hyperlink r:id="rId11" w:history="1">
        <w:r>
          <w:rPr>
            <w:color w:val="0000FF"/>
          </w:rPr>
          <w:t>N 647</w:t>
        </w:r>
      </w:hyperlink>
      <w:r>
        <w:t xml:space="preserve"> "Об утверждении состава и Порядка работы конкурсной комиссии по проведению открытого конкурса по отбору управляющей организации для управления многоквартирным домом";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- от 20.08.2015 </w:t>
      </w:r>
      <w:hyperlink r:id="rId12" w:history="1">
        <w:r>
          <w:rPr>
            <w:color w:val="0000FF"/>
          </w:rPr>
          <w:t>N 1496</w:t>
        </w:r>
      </w:hyperlink>
      <w:r>
        <w:t xml:space="preserve"> "О внесении изменения в постановление Администрации от 04.04.2014 N 647 "Об утверждении состава и Порядка работы конкурсной комиссии по проведению открытого конкурса по отбору управляющей организации для управления многоквартирным домом";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- от 09.11.2015 </w:t>
      </w:r>
      <w:hyperlink r:id="rId13" w:history="1">
        <w:r>
          <w:rPr>
            <w:color w:val="0000FF"/>
          </w:rPr>
          <w:t>N 2185</w:t>
        </w:r>
      </w:hyperlink>
      <w:r>
        <w:t xml:space="preserve"> "О внесении изменения в постановление Администрации от 04.04.2014 N 647 "Об утверждении состава и Порядка работы конкурсной комиссии по проведению открытого конкурса по отбору управляющей организации для управления многоквартирным домом".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4. Опубликовать данное постановление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г. Заречного Шошкина В.В.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945E4" w:rsidRDefault="003945E4">
      <w:pPr>
        <w:pStyle w:val="ConsPlusNormal"/>
        <w:jc w:val="right"/>
      </w:pPr>
      <w:r>
        <w:t>Главы Администрации</w:t>
      </w:r>
    </w:p>
    <w:p w:rsidR="003945E4" w:rsidRDefault="003945E4">
      <w:pPr>
        <w:pStyle w:val="ConsPlusNormal"/>
        <w:jc w:val="right"/>
      </w:pPr>
      <w:r>
        <w:t>П.Н.ПЕНЗИН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right"/>
        <w:outlineLvl w:val="0"/>
      </w:pPr>
      <w:r>
        <w:t>Приложение N 1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right"/>
      </w:pPr>
      <w:r>
        <w:t>Утвержден</w:t>
      </w:r>
    </w:p>
    <w:p w:rsidR="003945E4" w:rsidRDefault="003945E4">
      <w:pPr>
        <w:pStyle w:val="ConsPlusNormal"/>
        <w:jc w:val="right"/>
      </w:pPr>
      <w:r>
        <w:t>постановлением</w:t>
      </w:r>
    </w:p>
    <w:p w:rsidR="003945E4" w:rsidRDefault="003945E4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3945E4" w:rsidRDefault="003945E4">
      <w:pPr>
        <w:pStyle w:val="ConsPlusNormal"/>
        <w:jc w:val="right"/>
      </w:pPr>
      <w:r>
        <w:t>от 5 мая 2016 г. N 1074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Title"/>
        <w:jc w:val="center"/>
      </w:pPr>
      <w:bookmarkStart w:id="0" w:name="P39"/>
      <w:bookmarkEnd w:id="0"/>
      <w:r>
        <w:t>СОСТАВ</w:t>
      </w:r>
    </w:p>
    <w:p w:rsidR="003945E4" w:rsidRDefault="003945E4">
      <w:pPr>
        <w:pStyle w:val="ConsPlusTitle"/>
        <w:jc w:val="center"/>
      </w:pPr>
      <w:r>
        <w:t>КОНКУРСНОЙ КОМИССИИ ПО ПРОВЕДЕНИЮ ОТКРЫТОГО КОНКУРСА</w:t>
      </w:r>
    </w:p>
    <w:p w:rsidR="003945E4" w:rsidRDefault="003945E4">
      <w:pPr>
        <w:pStyle w:val="ConsPlusTitle"/>
        <w:jc w:val="center"/>
      </w:pPr>
      <w:r>
        <w:t>ПО ОТБОРУ УПРАВЛЯЮЩЕЙ ОРГАНИЗАЦИИ ДЛЯ УПРАВЛЕНИЯ</w:t>
      </w:r>
    </w:p>
    <w:p w:rsidR="003945E4" w:rsidRDefault="003945E4">
      <w:pPr>
        <w:pStyle w:val="ConsPlusTitle"/>
        <w:jc w:val="center"/>
      </w:pPr>
      <w:r>
        <w:t>МНОГОКВАРТИРНЫМ ДОМОМ</w:t>
      </w:r>
    </w:p>
    <w:p w:rsidR="003945E4" w:rsidRDefault="003945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945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5E4" w:rsidRDefault="00394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5E4" w:rsidRDefault="003945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16.10.2018 N 2361)</w:t>
            </w:r>
          </w:p>
        </w:tc>
      </w:tr>
    </w:tbl>
    <w:p w:rsidR="003945E4" w:rsidRDefault="003945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425"/>
        <w:gridCol w:w="5499"/>
      </w:tblGrid>
      <w:tr w:rsidR="003945E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proofErr w:type="spellStart"/>
            <w:r>
              <w:t>Дильман</w:t>
            </w:r>
            <w:proofErr w:type="spellEnd"/>
          </w:p>
          <w:p w:rsidR="003945E4" w:rsidRDefault="003945E4">
            <w:pPr>
              <w:pStyle w:val="ConsPlusNormal"/>
            </w:pPr>
            <w:r>
              <w:t>Илья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  <w:jc w:val="both"/>
            </w:pPr>
            <w:r>
              <w:t>заместитель Главы Администрации города Заречного, председатель комиссии</w:t>
            </w:r>
          </w:p>
        </w:tc>
      </w:tr>
      <w:tr w:rsidR="003945E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proofErr w:type="spellStart"/>
            <w:r>
              <w:t>Гераскин</w:t>
            </w:r>
            <w:proofErr w:type="spellEnd"/>
          </w:p>
          <w:p w:rsidR="003945E4" w:rsidRDefault="003945E4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  <w:jc w:val="both"/>
            </w:pPr>
            <w:r>
              <w:t>советник отдела городской инфраструктуры и жилищной политики Администрации города Заречного, секретарь комиссии</w:t>
            </w:r>
          </w:p>
        </w:tc>
      </w:tr>
      <w:tr w:rsidR="003945E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r>
              <w:t>Агеев</w:t>
            </w:r>
          </w:p>
          <w:p w:rsidR="003945E4" w:rsidRDefault="003945E4">
            <w:pPr>
              <w:pStyle w:val="ConsPlusNormal"/>
            </w:pPr>
            <w:r>
              <w:t>Юрий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  <w:jc w:val="both"/>
            </w:pPr>
            <w:r>
              <w:t>депутат Собрания представителей города Заречного (по согласованию)</w:t>
            </w:r>
          </w:p>
        </w:tc>
      </w:tr>
      <w:tr w:rsidR="003945E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r>
              <w:t>Давыдов</w:t>
            </w:r>
          </w:p>
          <w:p w:rsidR="003945E4" w:rsidRDefault="003945E4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  <w:jc w:val="both"/>
            </w:pPr>
            <w:r>
              <w:t>юрисконсульт муниципального учреждения "Правовое управление" (по согласованию)</w:t>
            </w:r>
          </w:p>
        </w:tc>
      </w:tr>
      <w:tr w:rsidR="003945E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proofErr w:type="spellStart"/>
            <w:r>
              <w:t>Кшуманев</w:t>
            </w:r>
            <w:proofErr w:type="spellEnd"/>
          </w:p>
          <w:p w:rsidR="003945E4" w:rsidRDefault="003945E4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  <w:jc w:val="both"/>
            </w:pPr>
            <w:r>
              <w:t>заместитель директора муниципального автономного учреждения "Управление общественных связей" города Заречного (по согласованию)</w:t>
            </w:r>
          </w:p>
        </w:tc>
      </w:tr>
      <w:tr w:rsidR="003945E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proofErr w:type="spellStart"/>
            <w:r>
              <w:t>Чертухин</w:t>
            </w:r>
            <w:proofErr w:type="spellEnd"/>
          </w:p>
          <w:p w:rsidR="003945E4" w:rsidRDefault="003945E4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отдела экономики и стратегического планирования Администрации города Заречного</w:t>
            </w:r>
          </w:p>
        </w:tc>
      </w:tr>
      <w:tr w:rsidR="003945E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proofErr w:type="spellStart"/>
            <w:r>
              <w:t>Чувашова</w:t>
            </w:r>
            <w:proofErr w:type="spellEnd"/>
          </w:p>
          <w:p w:rsidR="003945E4" w:rsidRDefault="003945E4">
            <w:pPr>
              <w:pStyle w:val="ConsPlusNormal"/>
            </w:pPr>
            <w:r>
              <w:t>Елена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945E4" w:rsidRDefault="003945E4">
            <w:pPr>
              <w:pStyle w:val="ConsPlusNormal"/>
              <w:jc w:val="both"/>
            </w:pPr>
            <w:r>
              <w:t>начальник отдела бухгалтерского учета - главный бухгалтер Администрации города Заречного</w:t>
            </w:r>
          </w:p>
        </w:tc>
      </w:tr>
    </w:tbl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right"/>
        <w:outlineLvl w:val="0"/>
      </w:pPr>
      <w:r>
        <w:t>Приложение N 2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right"/>
      </w:pPr>
      <w:r>
        <w:t>Утвержден</w:t>
      </w:r>
    </w:p>
    <w:p w:rsidR="003945E4" w:rsidRDefault="003945E4">
      <w:pPr>
        <w:pStyle w:val="ConsPlusNormal"/>
        <w:jc w:val="right"/>
      </w:pPr>
      <w:r>
        <w:t>постановлением</w:t>
      </w:r>
    </w:p>
    <w:p w:rsidR="003945E4" w:rsidRDefault="003945E4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3945E4" w:rsidRDefault="003945E4">
      <w:pPr>
        <w:pStyle w:val="ConsPlusNormal"/>
        <w:jc w:val="right"/>
      </w:pPr>
      <w:r>
        <w:t>от 5 мая 2016 г. N 1074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Title"/>
        <w:jc w:val="center"/>
      </w:pPr>
      <w:bookmarkStart w:id="1" w:name="P86"/>
      <w:bookmarkEnd w:id="1"/>
      <w:r>
        <w:lastRenderedPageBreak/>
        <w:t>ПОРЯДОК</w:t>
      </w:r>
    </w:p>
    <w:p w:rsidR="003945E4" w:rsidRDefault="003945E4">
      <w:pPr>
        <w:pStyle w:val="ConsPlusTitle"/>
        <w:jc w:val="center"/>
      </w:pPr>
      <w:r>
        <w:t>РАБОТЫ КОНКУРСНОЙ КОМИССИИ ПО ПРОВЕДЕНИЮ ОТКРЫТОГО КОНКУРСА</w:t>
      </w:r>
    </w:p>
    <w:p w:rsidR="003945E4" w:rsidRDefault="003945E4">
      <w:pPr>
        <w:pStyle w:val="ConsPlusTitle"/>
        <w:jc w:val="center"/>
      </w:pPr>
      <w:r>
        <w:t>ПО ОТБОРУ УПРАВЛЯЮЩЕЙ ОРГАНИЗАЦИИ ДЛЯ УПРАВЛЕНИЯ</w:t>
      </w:r>
    </w:p>
    <w:p w:rsidR="003945E4" w:rsidRDefault="003945E4">
      <w:pPr>
        <w:pStyle w:val="ConsPlusTitle"/>
        <w:jc w:val="center"/>
      </w:pPr>
      <w:r>
        <w:t>МНОГОКВАРТИРНЫМ ДОМОМ</w:t>
      </w:r>
    </w:p>
    <w:p w:rsidR="003945E4" w:rsidRDefault="003945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945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5E4" w:rsidRDefault="00394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5E4" w:rsidRDefault="003945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01.07.2016 N 1556)</w:t>
            </w:r>
          </w:p>
        </w:tc>
      </w:tr>
    </w:tbl>
    <w:p w:rsidR="003945E4" w:rsidRDefault="003945E4">
      <w:pPr>
        <w:pStyle w:val="ConsPlusNormal"/>
        <w:jc w:val="both"/>
      </w:pPr>
    </w:p>
    <w:p w:rsidR="003945E4" w:rsidRDefault="003945E4">
      <w:pPr>
        <w:pStyle w:val="ConsPlusTitle"/>
        <w:jc w:val="center"/>
        <w:outlineLvl w:val="1"/>
      </w:pPr>
      <w:r>
        <w:t>1. Общие положения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ind w:firstLine="540"/>
        <w:jc w:val="both"/>
      </w:pPr>
      <w:r>
        <w:t>1.1. Настоящий Порядок определяет основные задачи и функции, а также порядок работы комиссии по проведению открытого конкурса по отбору управляющей организации для управления многоквартирным домом (далее - комиссия).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1.2. Комиссия является постоянно действующим коллегиальным органом, срок полномочий комиссии не может превышать 2 года.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1.3. В своей деятельности комиссия руководствуется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Порядком.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Title"/>
        <w:jc w:val="center"/>
        <w:outlineLvl w:val="1"/>
      </w:pPr>
      <w:r>
        <w:t>2. Состав комиссии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ind w:firstLine="540"/>
        <w:jc w:val="both"/>
      </w:pPr>
      <w:r>
        <w:t>2.1. Численность комиссии составляет 8 человек.</w:t>
      </w:r>
    </w:p>
    <w:p w:rsidR="003945E4" w:rsidRDefault="003945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01.07.2016 N 1556)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2.2. Комиссия состоит из председателя, секретаря и иных членов комиссии.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Членами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родственниками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</w:t>
      </w:r>
      <w:proofErr w:type="gramEnd"/>
      <w:r>
        <w:t xml:space="preserve">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конкурса)). В случае выявления таких лиц, они исключаются из состава комиссии и назначаются иные лица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06.02.2006 N 75.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Title"/>
        <w:jc w:val="center"/>
        <w:outlineLvl w:val="1"/>
      </w:pPr>
      <w:r>
        <w:t>3. Задачи и функции комиссии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ind w:firstLine="540"/>
        <w:jc w:val="both"/>
      </w:pPr>
      <w:r>
        <w:t>3.1. Основными задачами комиссии являются рассмотрение заявок на участие в конкурсе, проведение открытого конкурса и определение победителей.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3.2. В соответствии с возложенными задачами комиссия осуществляет следующие функции: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- вскрытие конвертов с заявками на участие в конкурсе, которые поступили организатору </w:t>
      </w:r>
      <w:r>
        <w:lastRenderedPageBreak/>
        <w:t>конкурса до начала процедуры вскрытия конвертов;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ведение протокола вскрытия конвертов с заявками на участие в конкурсе;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подписание протокола вскрытия конвертов всеми членами конкурсной комиссии, участвующими в заседании, непосредственно после вскрытия всех конвертов;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оценка заявок на участие в конкурсе на соответствие требованиям, установленным конкурсной документацией;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- оценка заявок на участие в конкурсе на соответствие претендентов требованиям, установленным </w:t>
      </w:r>
      <w:hyperlink r:id="rId20" w:history="1">
        <w:r>
          <w:rPr>
            <w:color w:val="0000FF"/>
          </w:rPr>
          <w:t>пунктом 15</w:t>
        </w:r>
      </w:hyperlink>
      <w: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N 75. Комиссия не вправе предъявлять дополнительные, а также изменять предусмотренные конкурсной документацией требования к претендентам;</w:t>
      </w:r>
    </w:p>
    <w:p w:rsidR="003945E4" w:rsidRDefault="003945E4">
      <w:pPr>
        <w:pStyle w:val="ConsPlusNormal"/>
        <w:spacing w:before="220"/>
        <w:ind w:firstLine="540"/>
        <w:jc w:val="both"/>
      </w:pPr>
      <w:proofErr w:type="gramStart"/>
      <w:r>
        <w:t xml:space="preserve">- принятие решения об отстранении участника конкурса от участия в конкурсе на любом этапе его проведения, в случае установления фактов несоответствия участника конкурса требованиям к претендентам, установленным </w:t>
      </w:r>
      <w:hyperlink r:id="rId21" w:history="1">
        <w:r>
          <w:rPr>
            <w:color w:val="0000FF"/>
          </w:rPr>
          <w:t>пунктом 15</w:t>
        </w:r>
      </w:hyperlink>
      <w: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N 75;</w:t>
      </w:r>
      <w:proofErr w:type="gramEnd"/>
    </w:p>
    <w:p w:rsidR="003945E4" w:rsidRDefault="003945E4">
      <w:pPr>
        <w:pStyle w:val="ConsPlusNormal"/>
        <w:spacing w:before="220"/>
        <w:ind w:firstLine="540"/>
        <w:jc w:val="both"/>
      </w:pPr>
      <w:r>
        <w:t>- принятие решения о признании претендента участником конкурса или об отказе в допуске претендента к участию в конкурсе;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оформление протокола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проведение конкурса;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- ведение протокола конкурса по </w:t>
      </w:r>
      <w:hyperlink r:id="rId2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06.02.2006 N 75;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Title"/>
        <w:jc w:val="center"/>
        <w:outlineLvl w:val="1"/>
      </w:pPr>
      <w:r>
        <w:t>4. Полномочия членов комиссии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ind w:firstLine="540"/>
        <w:jc w:val="both"/>
      </w:pPr>
      <w:r>
        <w:t>4.1. Члены комиссии обладают равными правами при рассмотрении вопросов, связанных с осуществлением возложенных на комиссию функций. Члены комиссии вправе: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участвовать в подготовке заседаний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предварительно, до заседания комиссии, знакомиться с вопросами, выносимыми на рассмотрение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участвовать в заседании комиссии с правом решающего голоса;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участвовать в обсуждении рассматриваемых комиссией вопросов и вносить по ним предложения;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участвовать в голосовании при принятии решений по рассматриваемым комиссией вопросам;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lastRenderedPageBreak/>
        <w:t>- подписывать протоколы заседания комиссии.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4.2. Председатель комиссии пользуется полномочиями члена комиссии, а также: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осуществляет руководство деятельностью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председательствует на заседаниях комиссии и организует ее работу;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планирует деятельность работы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утверждает повестку каждого заседания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назначает заседания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подписывает протоколы заседания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представляет интересы комиссии в органах местного самоуправления, организациях, перед должностными лицами и гражданами.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4.3. Секретарь комиссии пользуется полномочиями члена комиссии, выполняет следующие функции: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осуществляет подготовку вопросов, подлежащих рассмотрению на заседании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выполняет поручения председателя комиссии, его заместителя;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осуществляет техническое обслуживание работы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оповещает членов комиссии и лиц, участвующих в заседании комиссии, о времени, месте и дате проведения заседания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осуществляет подготовку и оформление протоколов заседаний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ведет делопроизводство комиссии;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- подписывает протоколы заседания комиссии.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Title"/>
        <w:jc w:val="center"/>
        <w:outlineLvl w:val="1"/>
      </w:pPr>
      <w:r>
        <w:t>5. Организация работы комиссии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ind w:firstLine="540"/>
        <w:jc w:val="both"/>
      </w:pPr>
      <w:r>
        <w:t>5.1. Формой работы комиссии является заседание.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5.2. Руководство работой комиссии осуществляет председатель комиссии, а в его отсутствие заместитель, назначаемый председателем конкурсной комиссии.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5.3. Секретарь комиссии по поручению председателя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5.5. Заседание комиссии считается правомочным, если на нем присутствует более 50 процентов общего числа ее членов.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Каждый член конкурсной комиссии имеет один голос.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 xml:space="preserve">Заседание комиссии ведет председатель комиссии, а в его отсутствие назначаемый </w:t>
      </w:r>
      <w:r>
        <w:lastRenderedPageBreak/>
        <w:t>председателем конкурсной комиссии.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Решения комиссии в день их принятия оформляются протоколами, которые подписывают члены комиссии, принявшие участие в заседании.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Решения комиссии по рассматриваемым вопросам принимаются открытым голосованием.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По требованию заявителя ему предоставляется выписка из протокола заседания, подписанная секретарем комиссии.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5.6.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На заседаниях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3945E4" w:rsidRDefault="003945E4">
      <w:pPr>
        <w:pStyle w:val="ConsPlusNormal"/>
        <w:spacing w:before="220"/>
        <w:ind w:firstLine="540"/>
        <w:jc w:val="both"/>
      </w:pPr>
      <w:r>
        <w:t>5.7. Решения комиссии могут быть обжалованы в установленном законодательством Российской Федерации порядке.</w:t>
      </w: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jc w:val="both"/>
      </w:pPr>
    </w:p>
    <w:p w:rsidR="003945E4" w:rsidRDefault="003945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A4F" w:rsidRDefault="00846A4F"/>
    <w:sectPr w:rsidR="00846A4F" w:rsidSect="00C2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E4"/>
    <w:rsid w:val="003945E4"/>
    <w:rsid w:val="0084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271E6FA1E6B223057B3CA218699E72606C04DB35B28A8336DF3152EDAED2ACE53DC0A58707EA3F12AAE54E8xCI6I" TargetMode="External"/><Relationship Id="rId13" Type="http://schemas.openxmlformats.org/officeDocument/2006/relationships/hyperlink" Target="consultantplus://offline/ref=55D271E6FA1E6B223057ADC737EAC7E8260A9843BE5222FD6832A84879D3E77D9B1CDD561E226DA1F02AAC52F7CDD2C3xEI0I" TargetMode="External"/><Relationship Id="rId18" Type="http://schemas.openxmlformats.org/officeDocument/2006/relationships/hyperlink" Target="consultantplus://offline/ref=55D271E6FA1E6B223057ADC737EAC7E8260A9843B65A25FE6B31F542718AEB7F9C13825319336DA2F734AC54EEC48693ADFB845D3C00A08286082D74xCI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D271E6FA1E6B223057B3CA218699E72606C04DB35B28A8336DF3152EDAED2ADC5384065A7760A5F03FF805AD9ADFC0EEB08959251CA085x9I1I" TargetMode="External"/><Relationship Id="rId7" Type="http://schemas.openxmlformats.org/officeDocument/2006/relationships/hyperlink" Target="consultantplus://offline/ref=55D271E6FA1E6B223057B3CA218699E72608C54FB05A28A8336DF3152EDAED2ADC5384065A7661A3F03FF805AD9ADFC0EEB08959251CA085x9I1I" TargetMode="External"/><Relationship Id="rId12" Type="http://schemas.openxmlformats.org/officeDocument/2006/relationships/hyperlink" Target="consultantplus://offline/ref=55D271E6FA1E6B223057ADC737EAC7E8260A9843BE5F2AF66C32A84879D3E77D9B1CDD561E226DA1F02AAC52F7CDD2C3xEI0I" TargetMode="External"/><Relationship Id="rId17" Type="http://schemas.openxmlformats.org/officeDocument/2006/relationships/hyperlink" Target="consultantplus://offline/ref=55D271E6FA1E6B223057B3CA218699E72606C04DB35B28A8336DF3152EDAED2ACE53DC0A58707EA3F12AAE54E8xCI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D271E6FA1E6B223057B3CA218699E72608C54FB05A28A8336DF3152EDAED2ACE53DC0A58707EA3F12AAE54E8xCI6I" TargetMode="External"/><Relationship Id="rId20" Type="http://schemas.openxmlformats.org/officeDocument/2006/relationships/hyperlink" Target="consultantplus://offline/ref=55D271E6FA1E6B223057B3CA218699E72606C04DB35B28A8336DF3152EDAED2ADC5384065A7760A5F03FF805AD9ADFC0EEB08959251CA085x9I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271E6FA1E6B223057ADC737EAC7E8260A9843B65921F96638F542718AEB7F9C13825319336DA2F734AC54ECC48693ADFB845D3C00A08286082D74xCI1I" TargetMode="External"/><Relationship Id="rId11" Type="http://schemas.openxmlformats.org/officeDocument/2006/relationships/hyperlink" Target="consultantplus://offline/ref=55D271E6FA1E6B223057ADC737EAC7E8260A9843BE5221FD6E32A84879D3E77D9B1CDD561E226DA1F02AAC52F7CDD2C3xEI0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5D271E6FA1E6B223057ADC737EAC7E8260A9843B65B21F76639F542718AEB7F9C13825319336DA2F734AC54ECC48693ADFB845D3C00A08286082D74xCI1I" TargetMode="External"/><Relationship Id="rId15" Type="http://schemas.openxmlformats.org/officeDocument/2006/relationships/hyperlink" Target="consultantplus://offline/ref=55D271E6FA1E6B223057ADC737EAC7E8260A9843B65A25FE6B31F542718AEB7F9C13825319336DA2F734AC54EEC48693ADFB845D3C00A08286082D74xCI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5D271E6FA1E6B223057ADC737EAC7E8260A9843B65A20F66B3BF542718AEB7F9C13825319336DA2F734A55CE1C48693ADFB845D3C00A08286082D74xCI1I" TargetMode="External"/><Relationship Id="rId19" Type="http://schemas.openxmlformats.org/officeDocument/2006/relationships/hyperlink" Target="consultantplus://offline/ref=55D271E6FA1E6B223057B3CA218699E72606C04DB35B28A8336DF3152EDAED2ADC5384065A7760A0F53FF805AD9ADFC0EEB08959251CA085x9I1I" TargetMode="External"/><Relationship Id="rId4" Type="http://schemas.openxmlformats.org/officeDocument/2006/relationships/hyperlink" Target="consultantplus://offline/ref=55D271E6FA1E6B223057ADC737EAC7E8260A9843B65A25FE6B31F542718AEB7F9C13825319336DA2F734AC54ECC48693ADFB845D3C00A08286082D74xCI1I" TargetMode="External"/><Relationship Id="rId9" Type="http://schemas.openxmlformats.org/officeDocument/2006/relationships/hyperlink" Target="consultantplus://offline/ref=55D271E6FA1E6B223057ADC737EAC7E8260A9843B65A20F66B3BF542718AEB7F9C13825319336DA2F734A552E0C48693ADFB845D3C00A08286082D74xCI1I" TargetMode="External"/><Relationship Id="rId14" Type="http://schemas.openxmlformats.org/officeDocument/2006/relationships/hyperlink" Target="consultantplus://offline/ref=55D271E6FA1E6B223057ADC737EAC7E8260A9843B65921F96638F542718AEB7F9C13825319336DA2F734AC54EFC48693ADFB845D3C00A08286082D74xCI1I" TargetMode="External"/><Relationship Id="rId22" Type="http://schemas.openxmlformats.org/officeDocument/2006/relationships/hyperlink" Target="consultantplus://offline/ref=55D271E6FA1E6B223057B3CA218699E72606C04DB35B28A8336DF3152EDAED2ADC5384065A7765A7F63FF805AD9ADFC0EEB08959251CA085x9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2281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2019-06-27T08:08:00Z</dcterms:created>
  <dcterms:modified xsi:type="dcterms:W3CDTF">2019-06-27T08:13:00Z</dcterms:modified>
</cp:coreProperties>
</file>