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EC" w:rsidRDefault="00921CE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21CEC" w:rsidRDefault="00921CEC">
      <w:pPr>
        <w:pStyle w:val="ConsPlusNormal"/>
        <w:jc w:val="both"/>
        <w:outlineLvl w:val="0"/>
      </w:pPr>
    </w:p>
    <w:p w:rsidR="00921CEC" w:rsidRDefault="00921CEC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обеспечении заявок на участие в конкурсах и аукционах при НМЦК до 1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рублей; об установлении размера пени в документации о закупке.</w:t>
      </w:r>
    </w:p>
    <w:p w:rsidR="00921CEC" w:rsidRDefault="00921CEC">
      <w:pPr>
        <w:pStyle w:val="ConsPlusNormal"/>
        <w:jc w:val="both"/>
      </w:pPr>
    </w:p>
    <w:p w:rsidR="00921CEC" w:rsidRDefault="00921CEC">
      <w:pPr>
        <w:pStyle w:val="ConsPlusNormal"/>
        <w:ind w:firstLine="540"/>
        <w:jc w:val="both"/>
      </w:pPr>
      <w:r>
        <w:rPr>
          <w:b/>
        </w:rPr>
        <w:t>Ответ:</w:t>
      </w:r>
    </w:p>
    <w:p w:rsidR="00921CEC" w:rsidRDefault="00921CEC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921CEC" w:rsidRDefault="00921CEC">
      <w:pPr>
        <w:pStyle w:val="ConsPlusTitle"/>
        <w:jc w:val="center"/>
      </w:pPr>
    </w:p>
    <w:p w:rsidR="00921CEC" w:rsidRDefault="00921CEC">
      <w:pPr>
        <w:pStyle w:val="ConsPlusTitle"/>
        <w:jc w:val="center"/>
      </w:pPr>
      <w:r>
        <w:t>ПИСЬМО</w:t>
      </w:r>
    </w:p>
    <w:p w:rsidR="00921CEC" w:rsidRDefault="00921CEC">
      <w:pPr>
        <w:pStyle w:val="ConsPlusTitle"/>
        <w:jc w:val="center"/>
      </w:pPr>
      <w:r>
        <w:t>от 30 октября 2018 г. N 24-01-07/77857</w:t>
      </w:r>
    </w:p>
    <w:p w:rsidR="00921CEC" w:rsidRDefault="00921CEC">
      <w:pPr>
        <w:pStyle w:val="ConsPlusNormal"/>
        <w:jc w:val="both"/>
      </w:pPr>
    </w:p>
    <w:p w:rsidR="00921CEC" w:rsidRDefault="00921CEC">
      <w:pPr>
        <w:pStyle w:val="ConsPlusNormal"/>
        <w:ind w:firstLine="540"/>
        <w:jc w:val="both"/>
      </w:pPr>
      <w:r>
        <w:t xml:space="preserve">Департамент бюджетной политики в сфере контрактной системы Минфина России, рассмотрев обращение по вопросу о применении положений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сообщает следующее.</w:t>
      </w:r>
    </w:p>
    <w:p w:rsidR="00921CEC" w:rsidRDefault="00921CEC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12.04.2018 N 439 "Об утверждении значения начальной (максимальной) цены контракта, при превышении которого заказчик обязан установить требование к обеспечению заявок на участие в конкурсах и аукционах" (далее - Постановление N 439), вступившим в силу с 1 июля 2018 года, заказчик обязан установить требование к обеспечению заявок на участие в конкурсах и аукционах при</w:t>
      </w:r>
      <w:proofErr w:type="gramEnd"/>
      <w:r>
        <w:t xml:space="preserve"> превышении значения начальной (максимальной) цены контракта 1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рублей.</w:t>
      </w:r>
    </w:p>
    <w:p w:rsidR="00921CEC" w:rsidRDefault="00921CEC">
      <w:pPr>
        <w:pStyle w:val="ConsPlusNormal"/>
        <w:spacing w:before="220"/>
        <w:ind w:firstLine="540"/>
        <w:jc w:val="both"/>
      </w:pPr>
      <w:r>
        <w:t xml:space="preserve">При этом положения </w:t>
      </w:r>
      <w:hyperlink r:id="rId7" w:history="1">
        <w:r>
          <w:rPr>
            <w:color w:val="0000FF"/>
          </w:rPr>
          <w:t>Закона</w:t>
        </w:r>
      </w:hyperlink>
      <w:r>
        <w:t xml:space="preserve"> о контрактной системе 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N 439 не содержат ограничений в отношении установления требования к обеспечению заявок на участие в конкурсах и аукционах при значении начальной (максимальной) цены контракта до 1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рублей.</w:t>
      </w:r>
    </w:p>
    <w:p w:rsidR="00921CEC" w:rsidRDefault="00921CE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 статьи 2</w:t>
        </w:r>
      </w:hyperlink>
      <w:r>
        <w:t xml:space="preserve"> Закона о контрактной системе установлено, что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</w:t>
      </w:r>
      <w:proofErr w:type="gramStart"/>
      <w:r>
        <w:t>основывается</w:t>
      </w:r>
      <w:proofErr w:type="gramEnd"/>
      <w:r>
        <w:t xml:space="preserve"> в том числе на положениях Гражданского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 (далее - ГК РФ).</w:t>
      </w:r>
    </w:p>
    <w:p w:rsidR="00921CEC" w:rsidRDefault="00921CEC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Пунктом 2 статьи 6</w:t>
        </w:r>
      </w:hyperlink>
      <w:r>
        <w:t xml:space="preserve"> ГК РФ установлено, что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(аналогия права) и требований добросовестности, разумности и справедливости.</w:t>
      </w:r>
    </w:p>
    <w:p w:rsidR="00921CEC" w:rsidRDefault="00921CEC">
      <w:pPr>
        <w:pStyle w:val="ConsPlusNormal"/>
        <w:spacing w:before="220"/>
        <w:ind w:firstLine="540"/>
        <w:jc w:val="both"/>
      </w:pPr>
      <w:r>
        <w:t>При этом необходимо отметить, что обеспечение заявки является механизмом финансовой ответственности участника закупки с целью ограничения участия в закупке недобросовестных участников, а также защиты законных интересов заказчиков по недопущению признания закупки несостоявшейся в связи с отказом победителя от заключения контракта.</w:t>
      </w:r>
    </w:p>
    <w:p w:rsidR="00921CEC" w:rsidRDefault="00921CEC">
      <w:pPr>
        <w:pStyle w:val="ConsPlusNormal"/>
        <w:spacing w:before="220"/>
        <w:ind w:firstLine="540"/>
        <w:jc w:val="both"/>
      </w:pPr>
      <w:r>
        <w:t xml:space="preserve">Учитывая изложенное, в случае установления требования к обеспечению заявок на участие в конкурсах и аукционах при значении начальной (максимальной) цены контракта до 1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 полагаем необходимым руководствоваться порядком определения размера обеспечения заявок на участие в конкурсах и аукционах, установленным для контрактов, размер начальной (максимальной) цены в которых составляет от 5 </w:t>
      </w:r>
      <w:proofErr w:type="spellStart"/>
      <w:r>
        <w:t>млн</w:t>
      </w:r>
      <w:proofErr w:type="spellEnd"/>
      <w:r>
        <w:t xml:space="preserve"> рублей до 20 </w:t>
      </w:r>
      <w:proofErr w:type="spellStart"/>
      <w:r>
        <w:t>млн</w:t>
      </w:r>
      <w:proofErr w:type="spellEnd"/>
      <w:r>
        <w:t xml:space="preserve"> рублей.</w:t>
      </w:r>
    </w:p>
    <w:p w:rsidR="00921CEC" w:rsidRDefault="00921CEC">
      <w:pPr>
        <w:pStyle w:val="ConsPlusNormal"/>
        <w:spacing w:before="220"/>
        <w:ind w:firstLine="540"/>
        <w:jc w:val="both"/>
      </w:pPr>
      <w:r>
        <w:t>Дополнительно сообщаем, что в настоящее время в рамках работы по совершенствованию законодательства Российской Федерации в сфере закупок Минфином России рассматривается вопрос о внесении соответствующих изменений в порядок определения размера обеспечения заявок на участие в конкурсах и аукционах.</w:t>
      </w:r>
    </w:p>
    <w:p w:rsidR="00921CEC" w:rsidRDefault="00921CEC">
      <w:pPr>
        <w:pStyle w:val="ConsPlusNormal"/>
        <w:spacing w:before="220"/>
        <w:ind w:firstLine="540"/>
        <w:jc w:val="both"/>
      </w:pPr>
      <w:proofErr w:type="gramStart"/>
      <w:r>
        <w:t xml:space="preserve">Также отмечаем, что 31 декабря 2017 г. принят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N 504-ФЗ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N 504-ФЗ), устанавливающий с 1 июля 2018 г. обязанность заказчиков устанавливать пеню в размере одной трехсотой действующей на дату уплаты пеней </w:t>
      </w:r>
      <w:r>
        <w:lastRenderedPageBreak/>
        <w:t>ключевой ставки Центрального банка</w:t>
      </w:r>
      <w:proofErr w:type="gramEnd"/>
      <w:r>
        <w:t xml:space="preserve"> Российской Федерации (</w:t>
      </w:r>
      <w:hyperlink r:id="rId13" w:history="1">
        <w:r>
          <w:rPr>
            <w:color w:val="0000FF"/>
          </w:rPr>
          <w:t>статья 34</w:t>
        </w:r>
      </w:hyperlink>
      <w:r>
        <w:t xml:space="preserve"> Закона о контрактной системе).</w:t>
      </w:r>
    </w:p>
    <w:p w:rsidR="00921CEC" w:rsidRDefault="00921CEC">
      <w:pPr>
        <w:pStyle w:val="ConsPlusNormal"/>
        <w:spacing w:before="220"/>
        <w:ind w:firstLine="540"/>
        <w:jc w:val="both"/>
      </w:pPr>
      <w:r>
        <w:t>Таким образом, с 1 июля 2018 г. заказчик обязан устанавливать в проекте контракта пеню в размере одной трехсотой действующей на дату уплаты пеней ключевой ставки Центрального банка Российской Федерации.</w:t>
      </w:r>
    </w:p>
    <w:p w:rsidR="00921CEC" w:rsidRDefault="00921CEC">
      <w:pPr>
        <w:pStyle w:val="ConsPlusNormal"/>
        <w:spacing w:before="220"/>
        <w:ind w:firstLine="540"/>
        <w:jc w:val="both"/>
      </w:pPr>
      <w:proofErr w:type="gramStart"/>
      <w:r>
        <w:t xml:space="preserve">Вместе с тем, учитывая, что условие об определении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контрактом, подлежит в соответствии с требованиями </w:t>
      </w:r>
      <w:hyperlink r:id="rId14" w:history="1">
        <w:r>
          <w:rPr>
            <w:color w:val="0000FF"/>
          </w:rPr>
          <w:t>Закона</w:t>
        </w:r>
      </w:hyperlink>
      <w:r>
        <w:t xml:space="preserve"> о контрактной системе включению в извещение об осуществлении закупки, документацию о закупке, проект контракта, изменения, внесенные </w:t>
      </w:r>
      <w:hyperlink r:id="rId15" w:history="1">
        <w:r>
          <w:rPr>
            <w:color w:val="0000FF"/>
          </w:rPr>
          <w:t>Законом</w:t>
        </w:r>
      </w:hyperlink>
      <w:r>
        <w:t xml:space="preserve"> N 504-ФЗ, не распространяются на закупки, по которым указанные извещение, документация, проект контракта размещены в</w:t>
      </w:r>
      <w:proofErr w:type="gramEnd"/>
      <w:r>
        <w:t xml:space="preserve"> единой информационной системе до 1 июля 2018 г.</w:t>
      </w:r>
    </w:p>
    <w:p w:rsidR="00921CEC" w:rsidRDefault="00921CEC">
      <w:pPr>
        <w:pStyle w:val="ConsPlusNormal"/>
        <w:spacing w:before="220"/>
        <w:ind w:firstLine="540"/>
        <w:jc w:val="both"/>
      </w:pPr>
      <w:r>
        <w:t>Таким образом, если извещение об осуществлении закупки, документация о закупке, проект контракта размещены в единой информационной системе до 1 июля 2018 г., внесение изменений, предусматривающих замену термина "ставка рефинансирования" на термин "ключевая ставка", не требуется.</w:t>
      </w:r>
    </w:p>
    <w:p w:rsidR="00921CEC" w:rsidRDefault="00921CEC">
      <w:pPr>
        <w:pStyle w:val="ConsPlusNormal"/>
        <w:spacing w:before="220"/>
        <w:ind w:firstLine="540"/>
        <w:jc w:val="both"/>
      </w:pPr>
      <w:proofErr w:type="gramStart"/>
      <w:r>
        <w:t xml:space="preserve">Отмечаем также, что в соответствии с </w:t>
      </w:r>
      <w:hyperlink r:id="rId16" w:history="1">
        <w:r>
          <w:rPr>
            <w:color w:val="0000FF"/>
          </w:rPr>
          <w:t>указанием</w:t>
        </w:r>
      </w:hyperlink>
      <w:r>
        <w:t xml:space="preserve"> Банка России от 11.12.2015 N 3894-У "О ставке рефинансирования Банка России и ключевой ставке Банка России" с 1 января 2016 г. значение ставки рефинансирования Банка России приравнивается к значению ключевой ставки Банка России, определенному на соответствующую дату, и самостоятельное значение ставки рефинансирования Банком России не устанавливается.</w:t>
      </w:r>
      <w:proofErr w:type="gramEnd"/>
    </w:p>
    <w:p w:rsidR="00921CEC" w:rsidRDefault="00921CEC">
      <w:pPr>
        <w:pStyle w:val="ConsPlusNormal"/>
        <w:jc w:val="both"/>
      </w:pPr>
    </w:p>
    <w:p w:rsidR="00921CEC" w:rsidRDefault="00921CEC">
      <w:pPr>
        <w:pStyle w:val="ConsPlusNormal"/>
        <w:jc w:val="right"/>
      </w:pPr>
      <w:r>
        <w:t>Директор Департамента</w:t>
      </w:r>
    </w:p>
    <w:p w:rsidR="00921CEC" w:rsidRDefault="00921CEC">
      <w:pPr>
        <w:pStyle w:val="ConsPlusNormal"/>
        <w:jc w:val="right"/>
      </w:pPr>
      <w:r>
        <w:t>бюджетной политики в сфере</w:t>
      </w:r>
    </w:p>
    <w:p w:rsidR="00921CEC" w:rsidRDefault="00921CEC">
      <w:pPr>
        <w:pStyle w:val="ConsPlusNormal"/>
        <w:jc w:val="right"/>
      </w:pPr>
      <w:r>
        <w:t>контрактной системы</w:t>
      </w:r>
    </w:p>
    <w:p w:rsidR="00921CEC" w:rsidRDefault="00921CEC">
      <w:pPr>
        <w:pStyle w:val="ConsPlusNormal"/>
        <w:jc w:val="right"/>
      </w:pPr>
      <w:r>
        <w:t>Т.П.ДЕМИДОВА</w:t>
      </w:r>
    </w:p>
    <w:p w:rsidR="00921CEC" w:rsidRDefault="00921CEC">
      <w:pPr>
        <w:pStyle w:val="ConsPlusNormal"/>
      </w:pPr>
      <w:r>
        <w:t>30.10.2018</w:t>
      </w:r>
    </w:p>
    <w:p w:rsidR="00921CEC" w:rsidRDefault="00921CEC">
      <w:pPr>
        <w:pStyle w:val="ConsPlusNormal"/>
        <w:jc w:val="both"/>
      </w:pPr>
    </w:p>
    <w:p w:rsidR="00921CEC" w:rsidRDefault="00921CEC">
      <w:pPr>
        <w:pStyle w:val="ConsPlusNormal"/>
        <w:jc w:val="both"/>
      </w:pPr>
    </w:p>
    <w:p w:rsidR="00921CEC" w:rsidRDefault="00921C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2AA" w:rsidRDefault="003462AA"/>
    <w:sectPr w:rsidR="003462AA" w:rsidSect="00921CEC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characterSpacingControl w:val="doNotCompress"/>
  <w:compat/>
  <w:rsids>
    <w:rsidRoot w:val="00921CEC"/>
    <w:rsid w:val="00030046"/>
    <w:rsid w:val="003462AA"/>
    <w:rsid w:val="0036125A"/>
    <w:rsid w:val="0092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1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C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2A957448D1A6028425B00167D542CC789882894288F313FB052AB071CD4D479AAF084D19F251890A7D5C51CCG7a8N" TargetMode="External"/><Relationship Id="rId13" Type="http://schemas.openxmlformats.org/officeDocument/2006/relationships/hyperlink" Target="consultantplus://offline/ref=602A957448D1A6028425B00167D542CC7991838E4D8CF313FB052AB071CD4D4788AF504118F34B8808680A00892547E56E3EC14709D7DB6CG8a1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2A957448D1A6028425B00167D542CC7991838E4D8CF313FB052AB071CD4D479AAF084D19F251890A7D5C51CCG7a8N" TargetMode="External"/><Relationship Id="rId12" Type="http://schemas.openxmlformats.org/officeDocument/2006/relationships/hyperlink" Target="consultantplus://offline/ref=602A957448D1A6028425B00167D542CC789981884D8BF313FB052AB071CD4D4788AF504118F34E8B0D680A00892547E56E3EC14709D7DB6CG8a1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2A957448D1A6028425B00167D542CC7B98878C4C8AF313FB052AB071CD4D479AAF084D19F251890A7D5C51CCG7a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2A957448D1A6028425B00167D542CC789882894288F313FB052AB071CD4D479AAF084D19F251890A7D5C51CCG7a8N" TargetMode="External"/><Relationship Id="rId11" Type="http://schemas.openxmlformats.org/officeDocument/2006/relationships/hyperlink" Target="consultantplus://offline/ref=602A957448D1A6028425B00167D542CC78988389438EF313FB052AB071CD4D4788AF504118F34F8C09680A00892547E56E3EC14709D7DB6CG8a1N" TargetMode="External"/><Relationship Id="rId5" Type="http://schemas.openxmlformats.org/officeDocument/2006/relationships/hyperlink" Target="consultantplus://offline/ref=602A957448D1A6028425B00167D542CC7991838E4D8CF313FB052AB071CD4D479AAF084D19F251890A7D5C51CCG7a8N" TargetMode="External"/><Relationship Id="rId15" Type="http://schemas.openxmlformats.org/officeDocument/2006/relationships/hyperlink" Target="consultantplus://offline/ref=602A957448D1A6028425B00167D542CC789981884D8BF313FB052AB071CD4D479AAF084D19F251890A7D5C51CCG7a8N" TargetMode="External"/><Relationship Id="rId10" Type="http://schemas.openxmlformats.org/officeDocument/2006/relationships/hyperlink" Target="consultantplus://offline/ref=602A957448D1A6028425B00167D542CC78988389438CF313FB052AB071CD4D4788AF504118F1478A0A680A00892547E56E3EC14709D7DB6CG8a1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02A957448D1A6028425B00167D542CC7991838E4D8CF313FB052AB071CD4D4788AF504118F34F8A0B680A00892547E56E3EC14709D7DB6CG8a1N" TargetMode="External"/><Relationship Id="rId14" Type="http://schemas.openxmlformats.org/officeDocument/2006/relationships/hyperlink" Target="consultantplus://offline/ref=602A957448D1A6028425B00167D542CC7991838E4D8CF313FB052AB071CD4D479AAF084D19F251890A7D5C51CCG7a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1029</Words>
  <Characters>5869</Characters>
  <Application>Microsoft Office Word</Application>
  <DocSecurity>0</DocSecurity>
  <Lines>48</Lines>
  <Paragraphs>13</Paragraphs>
  <ScaleCrop>false</ScaleCrop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ioboimova</dc:creator>
  <cp:lastModifiedBy>ioboimova</cp:lastModifiedBy>
  <cp:revision>1</cp:revision>
  <dcterms:created xsi:type="dcterms:W3CDTF">2018-12-11T13:26:00Z</dcterms:created>
  <dcterms:modified xsi:type="dcterms:W3CDTF">2018-12-11T13:27:00Z</dcterms:modified>
</cp:coreProperties>
</file>