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/>
        <w:ind w:firstLine="708" w:left="6372" w:right="200"/>
        <w:contextualSpacing w:val="false"/>
        <w:jc w:val="both"/>
        <w:rPr>
          <w:rFonts w:cs=""/>
          <w:b/>
          <w:color w:val="auto"/>
          <w:sz w:val="24"/>
          <w:szCs w:val="24"/>
          <w:lang w:eastAsia="ru-RU"/>
        </w:rPr>
      </w:pPr>
      <w:r>
        <w:rPr>
          <w:rFonts w:cs=""/>
          <w:b/>
          <w:color w:val="auto"/>
          <w:sz w:val="24"/>
          <w:szCs w:val="24"/>
          <w:lang w:eastAsia="ru-RU"/>
        </w:rPr>
      </w:r>
    </w:p>
    <w:p>
      <w:pPr>
        <w:pStyle w:val="style0"/>
        <w:spacing w:after="200" w:before="0"/>
        <w:ind w:firstLine="708" w:left="6372" w:right="200"/>
        <w:contextualSpacing w:val="false"/>
        <w:jc w:val="both"/>
        <w:rPr>
          <w:rFonts w:cs=""/>
          <w:b/>
          <w:color w:val="auto"/>
          <w:sz w:val="24"/>
          <w:szCs w:val="24"/>
          <w:lang w:eastAsia="ru-RU"/>
        </w:rPr>
      </w:pPr>
      <w:bookmarkStart w:id="0" w:name="_GoBack"/>
      <w:bookmarkEnd w:id="0"/>
      <w:r>
        <w:rPr>
          <w:rFonts w:cs=""/>
          <w:b/>
          <w:color w:val="auto"/>
          <w:sz w:val="24"/>
          <w:szCs w:val="24"/>
          <w:lang w:eastAsia="ru-RU"/>
        </w:rPr>
        <w:t>Приложение</w:t>
      </w:r>
    </w:p>
    <w:p>
      <w:pPr>
        <w:pStyle w:val="style0"/>
        <w:spacing w:after="200" w:before="0"/>
        <w:ind w:hanging="0" w:left="0" w:right="200"/>
        <w:contextualSpacing w:val="false"/>
        <w:jc w:val="center"/>
        <w:rPr>
          <w:rFonts w:cs=""/>
          <w:b/>
          <w:color w:val="auto"/>
          <w:sz w:val="28"/>
          <w:szCs w:val="28"/>
          <w:lang w:eastAsia="ru-RU"/>
        </w:rPr>
      </w:pPr>
      <w:r>
        <w:rPr>
          <w:rFonts w:cs=""/>
          <w:b/>
          <w:color w:val="auto"/>
          <w:sz w:val="28"/>
          <w:szCs w:val="28"/>
          <w:lang w:eastAsia="ru-RU"/>
        </w:rPr>
        <w:t>Перечень  предоставляемых услуг с 13 апреля 2020 г.</w:t>
      </w:r>
    </w:p>
    <w:p>
      <w:pPr>
        <w:pStyle w:val="style0"/>
        <w:spacing w:after="200" w:before="0"/>
        <w:ind w:hanging="0" w:left="0" w:right="200"/>
        <w:contextualSpacing w:val="false"/>
        <w:jc w:val="center"/>
        <w:rPr>
          <w:rFonts w:cs=""/>
          <w:b/>
          <w:color w:val="auto"/>
          <w:sz w:val="32"/>
          <w:szCs w:val="32"/>
          <w:u w:val="single"/>
          <w:lang w:eastAsia="ru-RU"/>
        </w:rPr>
      </w:pPr>
      <w:r>
        <w:rPr>
          <w:rFonts w:cs=""/>
          <w:b/>
          <w:color w:val="auto"/>
          <w:sz w:val="32"/>
          <w:szCs w:val="32"/>
          <w:u w:val="single"/>
          <w:lang w:eastAsia="ru-RU"/>
        </w:rPr>
        <w:t>по предварительной записи по телефону 65-24-44</w:t>
      </w:r>
    </w:p>
    <w:p>
      <w:pPr>
        <w:pStyle w:val="style0"/>
        <w:spacing w:after="200" w:before="0"/>
        <w:ind w:hanging="0" w:left="0" w:right="200"/>
        <w:contextualSpacing w:val="false"/>
        <w:jc w:val="center"/>
        <w:rPr>
          <w:rFonts w:cs=""/>
          <w:b/>
          <w:bCs/>
          <w:color w:val="auto"/>
          <w:sz w:val="24"/>
          <w:szCs w:val="24"/>
          <w:lang w:eastAsia="ru-RU"/>
        </w:rPr>
      </w:pPr>
      <w:r>
        <w:rPr>
          <w:rFonts w:cs=""/>
          <w:b/>
          <w:bCs/>
          <w:color w:val="auto"/>
          <w:sz w:val="24"/>
          <w:szCs w:val="24"/>
          <w:lang w:eastAsia="ru-RU"/>
        </w:rPr>
        <w:t>Федеральная служба государственной регистрации, кадастра и картографии (Росреестр)</w:t>
      </w:r>
    </w:p>
    <w:p>
      <w:pPr>
        <w:pStyle w:val="style0"/>
        <w:spacing w:after="200" w:before="0"/>
        <w:ind w:hanging="0" w:left="0" w:right="200"/>
        <w:contextualSpacing w:val="false"/>
        <w:jc w:val="both"/>
        <w:rPr>
          <w:rFonts w:cs=""/>
          <w:color w:val="auto"/>
          <w:sz w:val="24"/>
          <w:szCs w:val="24"/>
          <w:lang w:eastAsia="ru-RU"/>
        </w:rPr>
      </w:pPr>
      <w:r>
        <w:rPr>
          <w:rFonts w:cs=""/>
          <w:color w:val="auto"/>
          <w:sz w:val="24"/>
          <w:szCs w:val="24"/>
          <w:lang w:eastAsia="ru-RU"/>
        </w:rPr>
        <w:t>1.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ним.</w:t>
      </w:r>
    </w:p>
    <w:p>
      <w:pPr>
        <w:pStyle w:val="style0"/>
        <w:spacing w:after="200" w:before="0"/>
        <w:ind w:hanging="0" w:left="0" w:right="200"/>
        <w:contextualSpacing w:val="false"/>
        <w:jc w:val="both"/>
        <w:rPr>
          <w:rFonts w:cs=""/>
          <w:color w:val="auto"/>
          <w:sz w:val="24"/>
          <w:szCs w:val="24"/>
          <w:lang w:eastAsia="ru-RU"/>
        </w:rPr>
      </w:pPr>
      <w:r>
        <w:rPr>
          <w:rFonts w:cs=""/>
          <w:color w:val="auto"/>
          <w:sz w:val="24"/>
          <w:szCs w:val="24"/>
          <w:lang w:eastAsia="ru-RU"/>
        </w:rPr>
        <w:t>2.Государственная услуга по предоставлению сведений, содержащихся в Едином государственном реестре недвижимости.</w:t>
      </w:r>
    </w:p>
    <w:p>
      <w:pPr>
        <w:pStyle w:val="style0"/>
        <w:spacing w:after="200" w:before="0"/>
        <w:ind w:hanging="0" w:left="0" w:right="200"/>
        <w:contextualSpacing w:val="false"/>
        <w:jc w:val="center"/>
        <w:rPr>
          <w:rFonts w:cs=""/>
          <w:b/>
          <w:bCs/>
          <w:color w:val="auto"/>
          <w:sz w:val="24"/>
          <w:szCs w:val="24"/>
          <w:lang w:eastAsia="ru-RU"/>
        </w:rPr>
      </w:pPr>
      <w:r>
        <w:rPr>
          <w:rFonts w:cs=""/>
          <w:b/>
          <w:bCs/>
          <w:color w:val="auto"/>
          <w:sz w:val="24"/>
          <w:szCs w:val="24"/>
          <w:lang w:eastAsia="ru-RU"/>
        </w:rPr>
        <w:t>Министерство цифрового развития, связи и массовых коммуникаций РФ (Минкомсвязь)</w:t>
      </w:r>
    </w:p>
    <w:p>
      <w:pPr>
        <w:pStyle w:val="style0"/>
        <w:spacing w:after="200" w:before="0"/>
        <w:ind w:hanging="0" w:left="0" w:right="200"/>
        <w:contextualSpacing w:val="false"/>
        <w:jc w:val="both"/>
        <w:rPr>
          <w:rFonts w:cs=""/>
          <w:color w:val="auto"/>
          <w:sz w:val="24"/>
          <w:szCs w:val="24"/>
          <w:lang w:eastAsia="ru-RU"/>
        </w:rPr>
      </w:pPr>
      <w:r>
        <w:rPr>
          <w:rFonts w:cs=""/>
          <w:color w:val="auto"/>
          <w:sz w:val="24"/>
          <w:szCs w:val="24"/>
          <w:lang w:eastAsia="ru-RU"/>
        </w:rPr>
        <w:t>1. Регистрация учетной записи физического лица на портале государственных услуг РФ.</w:t>
      </w:r>
    </w:p>
    <w:p>
      <w:pPr>
        <w:pStyle w:val="style0"/>
        <w:spacing w:after="200" w:before="0"/>
        <w:ind w:hanging="0" w:left="0" w:right="200"/>
        <w:contextualSpacing w:val="false"/>
        <w:jc w:val="both"/>
        <w:rPr>
          <w:rFonts w:cs=""/>
          <w:color w:val="auto"/>
          <w:sz w:val="24"/>
          <w:szCs w:val="24"/>
          <w:lang w:eastAsia="ru-RU"/>
        </w:rPr>
      </w:pPr>
      <w:r>
        <w:rPr>
          <w:rFonts w:cs=""/>
          <w:color w:val="auto"/>
          <w:sz w:val="24"/>
          <w:szCs w:val="24"/>
          <w:lang w:eastAsia="ru-RU"/>
        </w:rPr>
        <w:t>2. Подтверждение личности заявителя зарегистрированной учетной записи физического лица на портале государственных услуг РФ.</w:t>
      </w:r>
    </w:p>
    <w:p>
      <w:pPr>
        <w:pStyle w:val="style0"/>
        <w:spacing w:after="200" w:before="0"/>
        <w:ind w:hanging="0" w:left="0" w:right="200"/>
        <w:contextualSpacing w:val="false"/>
        <w:jc w:val="both"/>
        <w:rPr>
          <w:rFonts w:cs=""/>
          <w:color w:val="auto"/>
          <w:sz w:val="24"/>
          <w:szCs w:val="24"/>
          <w:lang w:eastAsia="ru-RU"/>
        </w:rPr>
      </w:pPr>
      <w:r>
        <w:rPr>
          <w:rFonts w:cs=""/>
          <w:color w:val="auto"/>
          <w:sz w:val="24"/>
          <w:szCs w:val="24"/>
          <w:lang w:eastAsia="ru-RU"/>
        </w:rPr>
        <w:t>3. Восстановление доступа к учетной записи физического лица на портале государственных услуг РФ.</w:t>
      </w:r>
    </w:p>
    <w:p>
      <w:pPr>
        <w:pStyle w:val="style0"/>
        <w:spacing w:after="200" w:before="0"/>
        <w:ind w:hanging="0" w:left="0" w:right="200"/>
        <w:contextualSpacing w:val="false"/>
        <w:jc w:val="both"/>
        <w:rPr>
          <w:rFonts w:cs=""/>
          <w:color w:val="auto"/>
          <w:sz w:val="24"/>
          <w:szCs w:val="24"/>
          <w:lang w:eastAsia="ru-RU"/>
        </w:rPr>
      </w:pPr>
      <w:r>
        <w:rPr>
          <w:rFonts w:cs=""/>
          <w:color w:val="auto"/>
          <w:sz w:val="24"/>
          <w:szCs w:val="24"/>
          <w:lang w:eastAsia="ru-RU"/>
        </w:rPr>
        <w:t>4. Подтверждение учетной записи на основе существующей упрощенной на портале государственных услуг РФ.</w:t>
      </w:r>
    </w:p>
    <w:p>
      <w:pPr>
        <w:pStyle w:val="style0"/>
        <w:spacing w:after="200" w:before="0"/>
        <w:ind w:hanging="0" w:left="0" w:right="200"/>
        <w:contextualSpacing w:val="false"/>
        <w:jc w:val="center"/>
        <w:rPr>
          <w:rFonts w:cs=""/>
          <w:b/>
          <w:bCs/>
          <w:color w:val="auto"/>
          <w:sz w:val="24"/>
          <w:szCs w:val="24"/>
          <w:lang w:eastAsia="ru-RU"/>
        </w:rPr>
      </w:pPr>
      <w:r>
        <w:rPr>
          <w:rFonts w:cs=""/>
          <w:b/>
          <w:bCs/>
          <w:color w:val="auto"/>
          <w:sz w:val="24"/>
          <w:szCs w:val="24"/>
          <w:lang w:eastAsia="ru-RU"/>
        </w:rPr>
        <w:t>Услуги по оказанию мер социальной поддержки населению:</w:t>
      </w:r>
    </w:p>
    <w:p>
      <w:pPr>
        <w:pStyle w:val="style0"/>
        <w:spacing w:after="200" w:before="0"/>
        <w:ind w:hanging="0" w:left="0" w:right="200"/>
        <w:contextualSpacing w:val="false"/>
        <w:jc w:val="center"/>
        <w:rPr>
          <w:rFonts w:cs=""/>
          <w:b/>
          <w:bCs/>
          <w:color w:val="auto"/>
          <w:sz w:val="24"/>
          <w:szCs w:val="24"/>
          <w:lang w:eastAsia="ru-RU"/>
        </w:rPr>
      </w:pPr>
      <w:r>
        <w:rPr>
          <w:rFonts w:cs=""/>
          <w:b/>
          <w:bCs/>
          <w:color w:val="auto"/>
          <w:sz w:val="24"/>
          <w:szCs w:val="24"/>
          <w:lang w:eastAsia="ru-RU"/>
        </w:rPr>
        <w:t>Министерство труда, социальной защиты и демографии Пензенской области</w:t>
      </w:r>
    </w:p>
    <w:p>
      <w:pPr>
        <w:pStyle w:val="style0"/>
        <w:spacing w:after="200" w:before="0"/>
        <w:ind w:hanging="0" w:left="0" w:right="200"/>
        <w:contextualSpacing w:val="false"/>
        <w:jc w:val="both"/>
        <w:rPr>
          <w:rFonts w:cs=""/>
          <w:color w:val="auto"/>
          <w:sz w:val="24"/>
          <w:szCs w:val="24"/>
          <w:lang w:eastAsia="ru-RU"/>
        </w:rPr>
      </w:pPr>
      <w:r>
        <w:rPr>
          <w:rFonts w:cs=""/>
          <w:color w:val="auto"/>
          <w:sz w:val="24"/>
          <w:szCs w:val="24"/>
          <w:lang w:eastAsia="ru-RU"/>
        </w:rPr>
        <w:t>1. Предоставление мер социальной поддержки труженикам тыла в период Великой Отечественной войны и лицам, имеющим звание «Ветеран труда», «Ветеран военной службы».</w:t>
      </w:r>
    </w:p>
    <w:p>
      <w:pPr>
        <w:pStyle w:val="style0"/>
        <w:spacing w:after="200" w:before="0"/>
        <w:ind w:hanging="0" w:left="0" w:right="200"/>
        <w:contextualSpacing w:val="false"/>
        <w:jc w:val="both"/>
        <w:rPr>
          <w:rFonts w:cs=""/>
          <w:color w:val="auto"/>
          <w:sz w:val="24"/>
          <w:szCs w:val="24"/>
          <w:lang w:eastAsia="ru-RU"/>
        </w:rPr>
      </w:pPr>
      <w:r>
        <w:rPr>
          <w:rFonts w:cs=""/>
          <w:color w:val="auto"/>
          <w:sz w:val="24"/>
          <w:szCs w:val="24"/>
          <w:lang w:eastAsia="ru-RU"/>
        </w:rPr>
        <w:t>2. Назначение и выплата социального пособия на погребение.</w:t>
      </w:r>
    </w:p>
    <w:p>
      <w:pPr>
        <w:pStyle w:val="style0"/>
        <w:spacing w:after="200" w:before="0"/>
        <w:ind w:hanging="142" w:left="142" w:right="200"/>
        <w:contextualSpacing w:val="false"/>
        <w:jc w:val="center"/>
        <w:rPr>
          <w:rFonts w:cs=""/>
          <w:b/>
          <w:color w:val="auto"/>
          <w:sz w:val="24"/>
          <w:szCs w:val="24"/>
          <w:lang w:eastAsia="ru-RU"/>
        </w:rPr>
      </w:pPr>
      <w:r>
        <w:rPr>
          <w:rFonts w:cs=""/>
          <w:b/>
          <w:color w:val="auto"/>
          <w:sz w:val="24"/>
          <w:szCs w:val="24"/>
          <w:lang w:eastAsia="ru-RU"/>
        </w:rPr>
        <w:t>Министерство внутренних дел РФ:</w:t>
      </w:r>
    </w:p>
    <w:p>
      <w:pPr>
        <w:pStyle w:val="style0"/>
        <w:spacing w:after="200" w:before="0"/>
        <w:ind w:hanging="0" w:left="0" w:right="200"/>
        <w:contextualSpacing/>
        <w:jc w:val="both"/>
        <w:rPr>
          <w:rFonts w:cs=""/>
          <w:color w:val="auto"/>
          <w:sz w:val="24"/>
          <w:szCs w:val="24"/>
          <w:lang w:eastAsia="ru-RU"/>
        </w:rPr>
      </w:pPr>
      <w:r>
        <w:rPr>
          <w:rFonts w:cs=""/>
          <w:color w:val="auto"/>
          <w:sz w:val="24"/>
          <w:szCs w:val="24"/>
          <w:lang w:eastAsia="ru-RU"/>
        </w:rPr>
        <w:t>1.Выдача,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>
      <w:pPr>
        <w:pStyle w:val="style0"/>
        <w:ind w:hanging="0" w:left="0" w:right="141"/>
        <w:rPr>
          <w:color w:val="auto"/>
        </w:rPr>
      </w:pPr>
      <w:r>
        <w:rPr>
          <w:color w:val="auto"/>
        </w:rPr>
      </w:r>
    </w:p>
    <w:sectPr>
      <w:type w:val="nextPage"/>
      <w:pgSz w:h="16838" w:w="11906"/>
      <w:pgMar w:bottom="1134" w:footer="0" w:gutter="0" w:header="0" w:left="1701" w:right="1133" w:top="1134"/>
      <w:pgNumType w:fmt="decimal"/>
      <w:formProt w:val="false"/>
      <w:textDirection w:val="lrTb"/>
      <w:docGrid w:charSpace="-49153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276" w:lineRule="auto"/>
      <w:contextualSpacing w:val="false"/>
    </w:pPr>
    <w:rPr>
      <w:rFonts w:ascii="Arial" w:cs="Calibri" w:eastAsia="SimSun" w:hAnsi="Arial"/>
      <w:color w:val="623B2A"/>
      <w:sz w:val="48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2020-04-11T08:05:00Z</dcterms:created>
  <dc:creator>Татьяна В. Ефремова</dc:creator>
  <cp:lastModifiedBy>Татьяна В. Ефремова</cp:lastModifiedBy>
  <cp:lastPrinted>2020-04-11T08:07:00Z</cp:lastPrinted>
  <dcterms:modified xsi:type="dcterms:W3CDTF">2020-04-11T08:08:00Z</dcterms:modified>
  <cp:revision>1</cp:revision>
</cp:coreProperties>
</file>