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A0" w:rsidRDefault="00D312CF" w:rsidP="00E60F6C">
      <w:pPr>
        <w:pStyle w:val="a3"/>
        <w:spacing w:before="21"/>
        <w:jc w:val="center"/>
        <w:rPr>
          <w:color w:val="303030"/>
          <w:spacing w:val="36"/>
        </w:rPr>
      </w:pPr>
      <w:r>
        <w:rPr>
          <w:color w:val="303030"/>
        </w:rPr>
        <w:t>ОБЗОР</w:t>
      </w:r>
      <w:r>
        <w:rPr>
          <w:color w:val="303030"/>
          <w:spacing w:val="41"/>
        </w:rPr>
        <w:t xml:space="preserve"> </w:t>
      </w:r>
      <w:r w:rsidR="00E60F6C">
        <w:rPr>
          <w:color w:val="303030"/>
        </w:rPr>
        <w:t xml:space="preserve">РАЗЪЯСНЕНИЙ </w:t>
      </w:r>
      <w:r>
        <w:rPr>
          <w:color w:val="303030"/>
        </w:rPr>
        <w:t>В</w:t>
      </w:r>
      <w:r>
        <w:rPr>
          <w:color w:val="303030"/>
          <w:spacing w:val="46"/>
        </w:rPr>
        <w:t xml:space="preserve"> </w:t>
      </w:r>
      <w:r w:rsidR="002F6548">
        <w:rPr>
          <w:color w:val="303030"/>
        </w:rPr>
        <w:t xml:space="preserve">СФЕРЕ </w:t>
      </w:r>
      <w:r>
        <w:rPr>
          <w:color w:val="303030"/>
        </w:rPr>
        <w:t>ЗАКУПОЧНОЙ</w:t>
      </w:r>
      <w:r w:rsidR="002F6548">
        <w:rPr>
          <w:color w:val="303030"/>
        </w:rPr>
        <w:t xml:space="preserve"> ДЕЯТЕЛЬНОСТИ</w:t>
      </w:r>
      <w:r>
        <w:rPr>
          <w:color w:val="303030"/>
          <w:spacing w:val="36"/>
        </w:rPr>
        <w:t xml:space="preserve"> </w:t>
      </w:r>
    </w:p>
    <w:p w:rsidR="00971AC2" w:rsidRDefault="00971AC2" w:rsidP="00E60F6C">
      <w:pPr>
        <w:pStyle w:val="a3"/>
        <w:spacing w:before="21"/>
        <w:jc w:val="center"/>
      </w:pPr>
      <w:r>
        <w:rPr>
          <w:color w:val="303030"/>
          <w:spacing w:val="36"/>
        </w:rPr>
        <w:t>(</w:t>
      </w:r>
      <w:r>
        <w:rPr>
          <w:sz w:val="28"/>
        </w:rPr>
        <w:t>в</w:t>
      </w:r>
      <w:r w:rsidRPr="006407CB">
        <w:rPr>
          <w:sz w:val="28"/>
        </w:rPr>
        <w:t xml:space="preserve"> рамках методического сопровождения применения заказчик</w:t>
      </w:r>
      <w:r>
        <w:rPr>
          <w:sz w:val="28"/>
        </w:rPr>
        <w:t>а</w:t>
      </w:r>
      <w:r w:rsidRPr="006407CB">
        <w:rPr>
          <w:sz w:val="28"/>
        </w:rPr>
        <w:t xml:space="preserve">ми положений Федерального закона от </w:t>
      </w:r>
      <w:r>
        <w:rPr>
          <w:sz w:val="28"/>
        </w:rPr>
        <w:t>0</w:t>
      </w:r>
      <w:r w:rsidRPr="006407CB">
        <w:rPr>
          <w:sz w:val="28"/>
        </w:rPr>
        <w:t>5</w:t>
      </w:r>
      <w:r>
        <w:rPr>
          <w:sz w:val="28"/>
        </w:rPr>
        <w:t>.04.</w:t>
      </w:r>
      <w:r w:rsidRPr="006407CB">
        <w:rPr>
          <w:sz w:val="28"/>
        </w:rPr>
        <w:t>2013 №</w:t>
      </w:r>
      <w:r>
        <w:rPr>
          <w:sz w:val="28"/>
        </w:rPr>
        <w:t> </w:t>
      </w:r>
      <w:r w:rsidRPr="006407CB">
        <w:rPr>
          <w:sz w:val="28"/>
        </w:rPr>
        <w:t>44</w:t>
      </w:r>
      <w:r>
        <w:rPr>
          <w:sz w:val="28"/>
        </w:rPr>
        <w:t>-</w:t>
      </w:r>
      <w:r w:rsidRPr="006407CB">
        <w:rPr>
          <w:sz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)</w:t>
      </w:r>
    </w:p>
    <w:p w:rsidR="00FD48A0" w:rsidRDefault="00FD48A0">
      <w:pPr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766"/>
        <w:gridCol w:w="3688"/>
        <w:gridCol w:w="7520"/>
      </w:tblGrid>
      <w:tr w:rsidR="00FD48A0">
        <w:trPr>
          <w:trHeight w:val="321"/>
        </w:trPr>
        <w:tc>
          <w:tcPr>
            <w:tcW w:w="922" w:type="dxa"/>
          </w:tcPr>
          <w:p w:rsidR="00FD48A0" w:rsidRDefault="00D312CF">
            <w:pPr>
              <w:pStyle w:val="TableParagraph"/>
              <w:spacing w:before="14"/>
              <w:ind w:left="123" w:righ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2766" w:type="dxa"/>
          </w:tcPr>
          <w:p w:rsidR="00FD48A0" w:rsidRDefault="00D312CF">
            <w:pPr>
              <w:pStyle w:val="TableParagraph"/>
              <w:spacing w:before="14"/>
              <w:ind w:left="621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РЕКВИЗИТЫ</w:t>
            </w:r>
          </w:p>
        </w:tc>
        <w:tc>
          <w:tcPr>
            <w:tcW w:w="3688" w:type="dxa"/>
          </w:tcPr>
          <w:p w:rsidR="00FD48A0" w:rsidRDefault="00D312CF">
            <w:pPr>
              <w:pStyle w:val="TableParagraph"/>
              <w:spacing w:before="14"/>
              <w:ind w:left="122" w:righ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ПРЕДМЕТ</w:t>
            </w:r>
          </w:p>
        </w:tc>
        <w:tc>
          <w:tcPr>
            <w:tcW w:w="7520" w:type="dxa"/>
          </w:tcPr>
          <w:p w:rsidR="00FD48A0" w:rsidRDefault="00D312CF">
            <w:pPr>
              <w:pStyle w:val="TableParagraph"/>
              <w:spacing w:before="14"/>
              <w:ind w:left="124" w:right="1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СОДЕРЖАНИЕ</w:t>
            </w:r>
          </w:p>
        </w:tc>
      </w:tr>
      <w:tr w:rsidR="00FD48A0">
        <w:trPr>
          <w:trHeight w:val="1769"/>
        </w:trPr>
        <w:tc>
          <w:tcPr>
            <w:tcW w:w="922" w:type="dxa"/>
          </w:tcPr>
          <w:p w:rsidR="00FD48A0" w:rsidRDefault="000143DB">
            <w:pPr>
              <w:pStyle w:val="TableParagraph"/>
              <w:spacing w:line="248" w:lineRule="exact"/>
              <w:ind w:left="24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766" w:type="dxa"/>
          </w:tcPr>
          <w:p w:rsidR="00FD48A0" w:rsidRDefault="00D312CF" w:rsidP="00971AC2">
            <w:pPr>
              <w:pStyle w:val="TableParagraph"/>
              <w:spacing w:line="247" w:lineRule="auto"/>
              <w:ind w:left="736" w:right="82" w:hanging="620"/>
              <w:jc w:val="left"/>
              <w:rPr>
                <w:i/>
              </w:rPr>
            </w:pPr>
            <w:r>
              <w:rPr>
                <w:i/>
              </w:rPr>
              <w:t>Письмо ФАС 06.09.2022</w:t>
            </w:r>
            <w:r w:rsidR="00971AC2">
              <w:rPr>
                <w:i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МШ/83177/22</w:t>
            </w:r>
          </w:p>
        </w:tc>
        <w:tc>
          <w:tcPr>
            <w:tcW w:w="3688" w:type="dxa"/>
          </w:tcPr>
          <w:p w:rsidR="00FD48A0" w:rsidRDefault="00D312CF" w:rsidP="000143DB">
            <w:pPr>
              <w:pStyle w:val="TableParagraph"/>
              <w:spacing w:line="242" w:lineRule="auto"/>
              <w:ind w:left="118" w:right="102"/>
              <w:rPr>
                <w:i/>
              </w:rPr>
            </w:pPr>
            <w:r>
              <w:rPr>
                <w:i/>
              </w:rPr>
              <w:t>Разъяснения по вопросу полномочий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ФАС России по рассмотрению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жалоб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закупки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малого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объема</w:t>
            </w:r>
          </w:p>
        </w:tc>
        <w:tc>
          <w:tcPr>
            <w:tcW w:w="7520" w:type="dxa"/>
          </w:tcPr>
          <w:p w:rsidR="00FD48A0" w:rsidRDefault="00D312CF" w:rsidP="000143DB">
            <w:pPr>
              <w:pStyle w:val="TableParagraph"/>
              <w:ind w:left="124" w:right="110" w:hanging="1"/>
              <w:jc w:val="both"/>
              <w:rPr>
                <w:i/>
              </w:rPr>
            </w:pPr>
            <w:r>
              <w:rPr>
                <w:i/>
              </w:rPr>
              <w:t>Жалобы на закупки малого объема, осуществляемые в соответствии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частью 12 статьи 93 Закона о контрактной системе, которые размещены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 электронной площадке либо специализированной электронной площадке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поступившие в ФАС России в порядке, предусмотренном статьей 105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контрактной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системе,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подлежат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рассмотрению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ФАС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России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 w:rsidR="000232E9">
              <w:rPr>
                <w:i/>
              </w:rPr>
              <w:t xml:space="preserve"> </w:t>
            </w:r>
            <w:r>
              <w:rPr>
                <w:i/>
              </w:rPr>
              <w:t>соответствии с требованиями Закона о контрактной системе и приказа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ФАС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России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13.10.2015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955/15.</w:t>
            </w:r>
          </w:p>
        </w:tc>
      </w:tr>
      <w:tr w:rsidR="000604E1">
        <w:trPr>
          <w:trHeight w:val="1776"/>
        </w:trPr>
        <w:tc>
          <w:tcPr>
            <w:tcW w:w="922" w:type="dxa"/>
          </w:tcPr>
          <w:p w:rsidR="000604E1" w:rsidRDefault="000604E1">
            <w:pPr>
              <w:pStyle w:val="TableParagraph"/>
              <w:spacing w:line="248" w:lineRule="exact"/>
              <w:ind w:left="24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766" w:type="dxa"/>
          </w:tcPr>
          <w:p w:rsidR="000604E1" w:rsidRDefault="000604E1" w:rsidP="00001BDB">
            <w:pPr>
              <w:pStyle w:val="TableParagraph"/>
              <w:spacing w:line="250" w:lineRule="exact"/>
              <w:ind w:left="196" w:right="172"/>
              <w:rPr>
                <w:i/>
              </w:rPr>
            </w:pPr>
            <w:r>
              <w:rPr>
                <w:i/>
              </w:rPr>
              <w:t>Письмо Минфина России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 27 июня  2022 г. N</w:t>
            </w:r>
            <w:r>
              <w:rPr>
                <w:i/>
                <w:spacing w:val="1"/>
              </w:rPr>
              <w:t xml:space="preserve"> 09</w:t>
            </w:r>
            <w:r>
              <w:rPr>
                <w:i/>
              </w:rPr>
              <w:t>-02-10/61712</w:t>
            </w:r>
          </w:p>
        </w:tc>
        <w:tc>
          <w:tcPr>
            <w:tcW w:w="3688" w:type="dxa"/>
          </w:tcPr>
          <w:p w:rsidR="000604E1" w:rsidRDefault="000604E1" w:rsidP="00001BDB">
            <w:pPr>
              <w:widowControl/>
              <w:adjustRightInd w:val="0"/>
              <w:ind w:left="118" w:right="102"/>
              <w:jc w:val="center"/>
              <w:rPr>
                <w:rFonts w:ascii="TimesNewRomanPSMT" w:eastAsiaTheme="minorHAnsi" w:hAnsi="TimesNewRomanPSMT" w:cs="TimesNewRomanPSMT"/>
                <w:i/>
              </w:rPr>
            </w:pPr>
            <w:r w:rsidRPr="000143DB">
              <w:rPr>
                <w:rFonts w:ascii="TimesNewRomanPSMT" w:eastAsiaTheme="minorHAnsi" w:hAnsi="TimesNewRomanPSMT" w:cs="TimesNewRomanPSMT"/>
                <w:i/>
              </w:rPr>
              <w:t xml:space="preserve">Об отражении в извещении </w:t>
            </w:r>
          </w:p>
          <w:p w:rsidR="000604E1" w:rsidRPr="000143DB" w:rsidRDefault="000604E1" w:rsidP="00001BDB">
            <w:pPr>
              <w:widowControl/>
              <w:adjustRightInd w:val="0"/>
              <w:ind w:left="118" w:right="102"/>
              <w:jc w:val="center"/>
              <w:rPr>
                <w:i/>
              </w:rPr>
            </w:pPr>
            <w:r w:rsidRPr="000143DB">
              <w:rPr>
                <w:rFonts w:ascii="TimesNewRomanPSMT" w:eastAsiaTheme="minorHAnsi" w:hAnsi="TimesNewRomanPSMT" w:cs="TimesNewRomanPSMT"/>
                <w:i/>
              </w:rPr>
              <w:t xml:space="preserve">о закупке условия о казначейском </w:t>
            </w:r>
            <w:r>
              <w:rPr>
                <w:rFonts w:ascii="TimesNewRomanPSMT" w:eastAsiaTheme="minorHAnsi" w:hAnsi="TimesNewRomanPSMT" w:cs="TimesNewRomanPSMT"/>
                <w:i/>
              </w:rPr>
              <w:t xml:space="preserve"> с</w:t>
            </w:r>
            <w:r w:rsidRPr="000143DB">
              <w:rPr>
                <w:rFonts w:ascii="TimesNewRomanPSMT" w:eastAsiaTheme="minorHAnsi" w:hAnsi="TimesNewRomanPSMT" w:cs="TimesNewRomanPSMT"/>
                <w:i/>
              </w:rPr>
              <w:t>опровождении при заключении подлежащего банковскому сопровождению контракта для нужд субъекта РФ (муниципальных нужд).</w:t>
            </w:r>
          </w:p>
        </w:tc>
        <w:tc>
          <w:tcPr>
            <w:tcW w:w="7520" w:type="dxa"/>
          </w:tcPr>
          <w:p w:rsidR="000604E1" w:rsidRPr="000143DB" w:rsidRDefault="000604E1" w:rsidP="00001BDB">
            <w:pPr>
              <w:widowControl/>
              <w:adjustRightInd w:val="0"/>
              <w:ind w:left="124" w:right="110"/>
              <w:jc w:val="both"/>
              <w:rPr>
                <w:i/>
              </w:rPr>
            </w:pPr>
            <w:r w:rsidRPr="000143DB">
              <w:rPr>
                <w:i/>
              </w:rPr>
              <w:t xml:space="preserve">Минфин дал разъяснения, что </w:t>
            </w:r>
            <w:r w:rsidRPr="000143DB">
              <w:rPr>
                <w:rFonts w:eastAsiaTheme="minorHAnsi"/>
                <w:i/>
              </w:rPr>
              <w:t>в случае, если государственный (муниципальный) контракт подлежит в соответствии с законодательством Российской Федерации банковскому сопровождению и в соответствии с частью 3 Федерального закона № 390-ФЗ казначейскому сопровождению, в извещении об осуществлении закупки устанавливаются положения о казначейском сопровождении</w:t>
            </w:r>
          </w:p>
        </w:tc>
      </w:tr>
      <w:tr w:rsidR="000604E1">
        <w:trPr>
          <w:trHeight w:val="1517"/>
        </w:trPr>
        <w:tc>
          <w:tcPr>
            <w:tcW w:w="922" w:type="dxa"/>
          </w:tcPr>
          <w:p w:rsidR="000604E1" w:rsidRDefault="000604E1">
            <w:pPr>
              <w:pStyle w:val="TableParagraph"/>
              <w:spacing w:line="248" w:lineRule="exact"/>
              <w:ind w:left="24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766" w:type="dxa"/>
          </w:tcPr>
          <w:p w:rsidR="000604E1" w:rsidRDefault="000604E1" w:rsidP="00001BDB">
            <w:pPr>
              <w:pStyle w:val="TableParagraph"/>
              <w:spacing w:line="242" w:lineRule="auto"/>
              <w:ind w:left="203" w:right="171"/>
              <w:rPr>
                <w:i/>
              </w:rPr>
            </w:pPr>
            <w:r>
              <w:rPr>
                <w:i/>
              </w:rPr>
              <w:t>Письмо Минфина России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 5 сентября 2022 г. 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24-07-07/86056</w:t>
            </w:r>
          </w:p>
        </w:tc>
        <w:tc>
          <w:tcPr>
            <w:tcW w:w="3688" w:type="dxa"/>
          </w:tcPr>
          <w:p w:rsidR="000604E1" w:rsidRDefault="000604E1" w:rsidP="00001BDB">
            <w:pPr>
              <w:pStyle w:val="TableParagraph"/>
              <w:spacing w:line="242" w:lineRule="auto"/>
              <w:ind w:left="118" w:right="102"/>
              <w:rPr>
                <w:i/>
              </w:rPr>
            </w:pPr>
            <w:r>
              <w:rPr>
                <w:i/>
              </w:rPr>
              <w:t>Перечни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закупок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целях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установления альтернативных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сроков оплаты можно будет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сформировать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помощью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ЕИС</w:t>
            </w:r>
          </w:p>
        </w:tc>
        <w:tc>
          <w:tcPr>
            <w:tcW w:w="7520" w:type="dxa"/>
          </w:tcPr>
          <w:p w:rsidR="000604E1" w:rsidRDefault="000604E1" w:rsidP="00001BDB">
            <w:pPr>
              <w:pStyle w:val="TableParagraph"/>
              <w:ind w:left="124" w:right="110" w:firstLine="10"/>
              <w:jc w:val="both"/>
              <w:rPr>
                <w:i/>
              </w:rPr>
            </w:pPr>
            <w:r>
              <w:rPr>
                <w:i/>
              </w:rPr>
              <w:t>Минфин рассказал о подготовке проекта соответствующего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постановления Правительства РФ, предусматривающего внесение ряда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изменений в Положение о размещении в единой информационной системе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информации о закупке, утвержденное постановлением от 10.09.2012 N 908.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частности,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указанный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проект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содержит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положения,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которые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позволят</w:t>
            </w:r>
          </w:p>
          <w:p w:rsidR="000604E1" w:rsidRDefault="000604E1" w:rsidP="00001BDB">
            <w:pPr>
              <w:pStyle w:val="TableParagraph"/>
              <w:spacing w:line="252" w:lineRule="exact"/>
              <w:ind w:left="124" w:right="110"/>
              <w:jc w:val="both"/>
              <w:rPr>
                <w:i/>
              </w:rPr>
            </w:pPr>
            <w:r>
              <w:rPr>
                <w:i/>
              </w:rPr>
              <w:t>заказчикам сформировать при помощи функционала ЕИС перечень товаров,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работ,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услуг,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осуществлении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закупок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которых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применяются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сроки оплаты, отличные от сроков, предусмотренных ч. 5.3 ст. 3 Закона N 223-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ФЗ.</w:t>
            </w:r>
          </w:p>
        </w:tc>
      </w:tr>
      <w:tr w:rsidR="000604E1" w:rsidTr="000232E9">
        <w:trPr>
          <w:trHeight w:val="2045"/>
        </w:trPr>
        <w:tc>
          <w:tcPr>
            <w:tcW w:w="922" w:type="dxa"/>
          </w:tcPr>
          <w:p w:rsidR="000604E1" w:rsidRDefault="000604E1" w:rsidP="00001BDB">
            <w:pPr>
              <w:pStyle w:val="TableParagraph"/>
              <w:spacing w:line="248" w:lineRule="exact"/>
              <w:ind w:left="24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766" w:type="dxa"/>
          </w:tcPr>
          <w:p w:rsidR="000604E1" w:rsidRDefault="000604E1" w:rsidP="00001BDB">
            <w:pPr>
              <w:pStyle w:val="TableParagraph"/>
              <w:spacing w:line="250" w:lineRule="exact"/>
              <w:ind w:left="196" w:right="172"/>
              <w:rPr>
                <w:i/>
              </w:rPr>
            </w:pPr>
            <w:r>
              <w:rPr>
                <w:i/>
              </w:rPr>
              <w:t>Письмо Минфина России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 5 октября 2022 г. 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24-06-07/95478</w:t>
            </w:r>
          </w:p>
        </w:tc>
        <w:tc>
          <w:tcPr>
            <w:tcW w:w="3688" w:type="dxa"/>
          </w:tcPr>
          <w:p w:rsidR="000604E1" w:rsidRDefault="000604E1" w:rsidP="00001BDB">
            <w:pPr>
              <w:pStyle w:val="TableParagraph"/>
              <w:ind w:left="118" w:right="102"/>
              <w:rPr>
                <w:i/>
              </w:rPr>
            </w:pPr>
            <w:r>
              <w:rPr>
                <w:i/>
              </w:rPr>
              <w:t xml:space="preserve">Разъяснения в части определения отдельными заказчиками объема закупок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7520" w:type="dxa"/>
          </w:tcPr>
          <w:p w:rsidR="000604E1" w:rsidRDefault="000604E1" w:rsidP="00001BDB">
            <w:pPr>
              <w:pStyle w:val="TableParagraph"/>
              <w:spacing w:line="233" w:lineRule="exact"/>
              <w:ind w:left="124" w:right="110"/>
              <w:jc w:val="both"/>
              <w:rPr>
                <w:i/>
              </w:rPr>
            </w:pPr>
            <w:r>
              <w:rPr>
                <w:i/>
              </w:rPr>
              <w:t xml:space="preserve">Минфин дал разъяснения, что положения Закона о контрактной системе не содержат запрета осуществления в соответствии с положениями части 1 статьи 30 Закона № 44-ФЗ указанными в части 71 статьи 112 Закона № 44-ФЗ заказчиками закупок у субъектов малого предпринимательства и социально ориентированных некоммерческих организаций лекарственных препаратов для медицинского применения  и медицинский изделий. При осуществлении таких закупок, они учитываются в объеме закупок, которые осуществлены у СМП и СОНКО.    </w:t>
            </w:r>
          </w:p>
        </w:tc>
      </w:tr>
      <w:tr w:rsidR="000604E1" w:rsidTr="002F6548">
        <w:trPr>
          <w:trHeight w:val="1967"/>
        </w:trPr>
        <w:tc>
          <w:tcPr>
            <w:tcW w:w="922" w:type="dxa"/>
          </w:tcPr>
          <w:p w:rsidR="000604E1" w:rsidRDefault="000604E1" w:rsidP="00001BDB">
            <w:pPr>
              <w:pStyle w:val="TableParagraph"/>
              <w:spacing w:line="248" w:lineRule="exact"/>
              <w:ind w:left="24"/>
              <w:rPr>
                <w:i/>
              </w:rPr>
            </w:pPr>
            <w:r>
              <w:rPr>
                <w:i/>
                <w:w w:val="101"/>
              </w:rPr>
              <w:lastRenderedPageBreak/>
              <w:t>5</w:t>
            </w:r>
          </w:p>
        </w:tc>
        <w:tc>
          <w:tcPr>
            <w:tcW w:w="2766" w:type="dxa"/>
          </w:tcPr>
          <w:p w:rsidR="000604E1" w:rsidRDefault="000604E1" w:rsidP="00001BDB">
            <w:pPr>
              <w:pStyle w:val="TableParagraph"/>
              <w:spacing w:line="242" w:lineRule="auto"/>
              <w:ind w:left="203" w:right="171"/>
              <w:rPr>
                <w:i/>
              </w:rPr>
            </w:pPr>
            <w:r>
              <w:rPr>
                <w:i/>
              </w:rPr>
              <w:t>Письмо Минфина России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 3 октября 2022 г. 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24-06-07/95478</w:t>
            </w:r>
          </w:p>
        </w:tc>
        <w:tc>
          <w:tcPr>
            <w:tcW w:w="3688" w:type="dxa"/>
          </w:tcPr>
          <w:p w:rsidR="000604E1" w:rsidRDefault="003F5BD4" w:rsidP="0039289C">
            <w:pPr>
              <w:pStyle w:val="TableParagraph"/>
              <w:spacing w:line="242" w:lineRule="auto"/>
              <w:ind w:left="118" w:right="102"/>
              <w:rPr>
                <w:i/>
              </w:rPr>
            </w:pPr>
            <w:r>
              <w:rPr>
                <w:i/>
              </w:rPr>
              <w:t>О подтверждении членства участника закупки в</w:t>
            </w:r>
            <w:r w:rsidR="0039289C">
              <w:rPr>
                <w:i/>
              </w:rPr>
              <w:t xml:space="preserve"> саморегулируемой организации в области инженерных изысканий, проектирования, с</w:t>
            </w:r>
            <w:bookmarkStart w:id="0" w:name="_GoBack"/>
            <w:bookmarkEnd w:id="0"/>
            <w:r w:rsidR="0039289C">
              <w:rPr>
                <w:i/>
              </w:rPr>
              <w:t>троительства, реконструкции, капитального ремонта, сноса объектов капитального строительства</w:t>
            </w:r>
          </w:p>
        </w:tc>
        <w:tc>
          <w:tcPr>
            <w:tcW w:w="7520" w:type="dxa"/>
          </w:tcPr>
          <w:p w:rsidR="000604E1" w:rsidRDefault="003F5BD4" w:rsidP="003F5BD4">
            <w:pPr>
              <w:pStyle w:val="TableParagraph"/>
              <w:spacing w:line="252" w:lineRule="exact"/>
              <w:ind w:left="124" w:right="110"/>
              <w:jc w:val="both"/>
              <w:rPr>
                <w:i/>
              </w:rPr>
            </w:pPr>
            <w:r>
              <w:rPr>
                <w:i/>
              </w:rPr>
              <w:t xml:space="preserve">Минфин в совместном письме с Минстроем РФ дал разъяснения, что с учетом положений Федерального закона от 01.12.2007 г № 315-ФЗ, наличие сведений в едином реестре сведений о членах саморегулируемых организаций и их обязательствах в настоящее время является подтверждением членства в соответствующей саморегулируемой организации. При осуществлении закупки, в извещении об осуществлении которой установлено требование  к участникам о членстве в соответствующей СРО, требование к подтверждающему документу в извещении не устанавливается, подтверждающий документ в заявке на участие в закупке не предоставляется.  </w:t>
            </w:r>
          </w:p>
        </w:tc>
      </w:tr>
      <w:tr w:rsidR="000604E1" w:rsidTr="002F6548">
        <w:trPr>
          <w:trHeight w:val="1967"/>
        </w:trPr>
        <w:tc>
          <w:tcPr>
            <w:tcW w:w="922" w:type="dxa"/>
          </w:tcPr>
          <w:p w:rsidR="000604E1" w:rsidRDefault="000604E1" w:rsidP="00001BDB">
            <w:pPr>
              <w:pStyle w:val="TableParagraph"/>
              <w:spacing w:line="248" w:lineRule="exact"/>
              <w:ind w:left="24"/>
              <w:rPr>
                <w:i/>
                <w:w w:val="101"/>
              </w:rPr>
            </w:pPr>
            <w:r>
              <w:rPr>
                <w:i/>
                <w:w w:val="101"/>
              </w:rPr>
              <w:t>6</w:t>
            </w:r>
          </w:p>
        </w:tc>
        <w:tc>
          <w:tcPr>
            <w:tcW w:w="2766" w:type="dxa"/>
          </w:tcPr>
          <w:p w:rsidR="000604E1" w:rsidRDefault="000604E1" w:rsidP="00001BDB">
            <w:pPr>
              <w:pStyle w:val="TableParagraph"/>
              <w:spacing w:line="242" w:lineRule="auto"/>
              <w:ind w:left="203" w:right="169"/>
              <w:rPr>
                <w:i/>
              </w:rPr>
            </w:pPr>
            <w:r>
              <w:rPr>
                <w:i/>
              </w:rPr>
              <w:t>Письмо Федерального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казначейства от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04.08.2022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14-00-</w:t>
            </w:r>
          </w:p>
          <w:p w:rsidR="000604E1" w:rsidRDefault="000604E1" w:rsidP="00001BDB">
            <w:pPr>
              <w:pStyle w:val="TableParagraph"/>
              <w:spacing w:line="250" w:lineRule="exact"/>
              <w:ind w:left="196" w:right="172"/>
              <w:rPr>
                <w:i/>
              </w:rPr>
            </w:pPr>
            <w:r>
              <w:rPr>
                <w:i/>
              </w:rPr>
              <w:t>05/19296</w:t>
            </w:r>
          </w:p>
        </w:tc>
        <w:tc>
          <w:tcPr>
            <w:tcW w:w="3688" w:type="dxa"/>
          </w:tcPr>
          <w:p w:rsidR="000604E1" w:rsidRDefault="000604E1" w:rsidP="00001BDB">
            <w:pPr>
              <w:pStyle w:val="TableParagraph"/>
              <w:ind w:left="146" w:right="122" w:hanging="7"/>
              <w:rPr>
                <w:i/>
              </w:rPr>
            </w:pPr>
            <w:r>
              <w:rPr>
                <w:i/>
              </w:rPr>
              <w:t>Казначейство рассказало о порядке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отражения в ежемесячном отчете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информации о закупках заказчиков,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 отношении которых введены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санкции.</w:t>
            </w:r>
          </w:p>
        </w:tc>
        <w:tc>
          <w:tcPr>
            <w:tcW w:w="7520" w:type="dxa"/>
          </w:tcPr>
          <w:p w:rsidR="000604E1" w:rsidRDefault="000604E1" w:rsidP="00001BDB">
            <w:pPr>
              <w:pStyle w:val="TableParagraph"/>
              <w:spacing w:line="242" w:lineRule="auto"/>
              <w:ind w:left="124" w:right="204" w:hanging="1"/>
              <w:jc w:val="both"/>
              <w:rPr>
                <w:i/>
              </w:rPr>
            </w:pPr>
            <w:r>
              <w:rPr>
                <w:i/>
              </w:rPr>
              <w:t>Специалисты ведомства отмечают, что включение в ежемесячную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отчетность сведений о закупках у субъектов малого и среднего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предпринимательства,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которые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размещены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ЕИС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соответствии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ч.16 ст. 4 Закона N 223-ФЗ, осуществляется по усмотрению заказчика.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Соответствующие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отчете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являются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необязательными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для заполнения.</w:t>
            </w:r>
          </w:p>
        </w:tc>
      </w:tr>
    </w:tbl>
    <w:p w:rsidR="00D312CF" w:rsidRDefault="00D312CF"/>
    <w:sectPr w:rsidR="00D312CF" w:rsidSect="00295B47">
      <w:headerReference w:type="default" r:id="rId6"/>
      <w:pgSz w:w="16850" w:h="11910" w:orient="landscape"/>
      <w:pgMar w:top="709" w:right="840" w:bottom="280" w:left="860" w:header="70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030" w:rsidRDefault="00193030">
      <w:r>
        <w:separator/>
      </w:r>
    </w:p>
  </w:endnote>
  <w:endnote w:type="continuationSeparator" w:id="1">
    <w:p w:rsidR="00193030" w:rsidRDefault="0019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030" w:rsidRDefault="00193030">
      <w:r>
        <w:separator/>
      </w:r>
    </w:p>
  </w:footnote>
  <w:footnote w:type="continuationSeparator" w:id="1">
    <w:p w:rsidR="00193030" w:rsidRDefault="00193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A0" w:rsidRDefault="00FD48A0">
    <w:pPr>
      <w:pStyle w:val="a3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D48A0"/>
    <w:rsid w:val="000143DB"/>
    <w:rsid w:val="000232E9"/>
    <w:rsid w:val="000604E1"/>
    <w:rsid w:val="00193030"/>
    <w:rsid w:val="0019733F"/>
    <w:rsid w:val="00295B47"/>
    <w:rsid w:val="002F6548"/>
    <w:rsid w:val="0039289C"/>
    <w:rsid w:val="003F5BD4"/>
    <w:rsid w:val="00971AC2"/>
    <w:rsid w:val="00975CAD"/>
    <w:rsid w:val="00C775B4"/>
    <w:rsid w:val="00D312CF"/>
    <w:rsid w:val="00E60F6C"/>
    <w:rsid w:val="00FA7BB9"/>
    <w:rsid w:val="00FD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5C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C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5CAD"/>
    <w:rPr>
      <w:b/>
      <w:bCs/>
      <w:sz w:val="31"/>
      <w:szCs w:val="31"/>
    </w:rPr>
  </w:style>
  <w:style w:type="paragraph" w:styleId="a4">
    <w:name w:val="Title"/>
    <w:basedOn w:val="a"/>
    <w:uiPriority w:val="1"/>
    <w:qFormat/>
    <w:rsid w:val="00975CAD"/>
    <w:pPr>
      <w:spacing w:before="16"/>
      <w:ind w:left="1048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975CAD"/>
  </w:style>
  <w:style w:type="paragraph" w:customStyle="1" w:styleId="TableParagraph">
    <w:name w:val="Table Paragraph"/>
    <w:basedOn w:val="a"/>
    <w:uiPriority w:val="1"/>
    <w:qFormat/>
    <w:rsid w:val="00975CAD"/>
    <w:pPr>
      <w:jc w:val="center"/>
    </w:pPr>
  </w:style>
  <w:style w:type="paragraph" w:styleId="a6">
    <w:name w:val="header"/>
    <w:basedOn w:val="a"/>
    <w:link w:val="a7"/>
    <w:uiPriority w:val="99"/>
    <w:unhideWhenUsed/>
    <w:rsid w:val="00E60F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0F6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60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0F6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1"/>
      <w:szCs w:val="31"/>
    </w:rPr>
  </w:style>
  <w:style w:type="paragraph" w:styleId="a4">
    <w:name w:val="Title"/>
    <w:basedOn w:val="a"/>
    <w:uiPriority w:val="1"/>
    <w:qFormat/>
    <w:pPr>
      <w:spacing w:before="16"/>
      <w:ind w:left="1048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header"/>
    <w:basedOn w:val="a"/>
    <w:link w:val="a7"/>
    <w:uiPriority w:val="99"/>
    <w:unhideWhenUsed/>
    <w:rsid w:val="00E60F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0F6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60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0F6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регулированию контрактного рынка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Фирсов</dc:creator>
  <cp:lastModifiedBy>ioboimova</cp:lastModifiedBy>
  <cp:revision>4</cp:revision>
  <dcterms:created xsi:type="dcterms:W3CDTF">2022-10-12T14:26:00Z</dcterms:created>
  <dcterms:modified xsi:type="dcterms:W3CDTF">2022-10-12T14:33:00Z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2022-10-06T00:00:00Z</vt:filetime>
  </property>
</Properties>
</file>